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afterLines="100" w:line="240" w:lineRule="atLeast"/>
        <w:rPr>
          <w:rFonts w:ascii="仿宋_GB2312" w:hAnsi="宋体"/>
          <w:sz w:val="32"/>
          <w:szCs w:val="32"/>
        </w:rPr>
      </w:pPr>
      <w:r>
        <w:rPr>
          <w:rFonts w:hint="eastAsia" w:ascii="黑体" w:hAnsi="黑体" w:eastAsia="黑体"/>
          <w:bCs/>
          <w:sz w:val="32"/>
          <w:szCs w:val="32"/>
        </w:rPr>
        <w:t>附件八</w:t>
      </w:r>
    </w:p>
    <w:p>
      <w:pPr>
        <w:adjustRightInd w:val="0"/>
        <w:snapToGrid w:val="0"/>
        <w:spacing w:line="580" w:lineRule="exact"/>
        <w:jc w:val="center"/>
        <w:rPr>
          <w:rFonts w:hint="eastAsia" w:ascii="方正小标宋_GBK" w:hAnsi="宋体" w:eastAsia="方正小标宋_GBK"/>
          <w:spacing w:val="-4"/>
          <w:w w:val="98"/>
          <w:sz w:val="44"/>
          <w:szCs w:val="44"/>
        </w:rPr>
      </w:pPr>
      <w:r>
        <w:rPr>
          <w:rFonts w:hint="eastAsia" w:ascii="方正小标宋_GBK" w:hAnsi="宋体" w:eastAsia="方正小标宋_GBK"/>
          <w:spacing w:val="-4"/>
          <w:w w:val="98"/>
          <w:sz w:val="44"/>
          <w:szCs w:val="44"/>
        </w:rPr>
        <w:t>关于组织开展2021年苏州市柔性引进</w:t>
      </w:r>
    </w:p>
    <w:p>
      <w:pPr>
        <w:adjustRightInd w:val="0"/>
        <w:snapToGrid w:val="0"/>
        <w:spacing w:line="580" w:lineRule="exact"/>
        <w:jc w:val="center"/>
        <w:rPr>
          <w:rFonts w:hint="eastAsia" w:ascii="方正小标宋_GBK" w:hAnsi="宋体" w:eastAsia="方正小标宋_GBK"/>
          <w:spacing w:val="-4"/>
          <w:w w:val="98"/>
          <w:sz w:val="44"/>
          <w:szCs w:val="44"/>
        </w:rPr>
      </w:pPr>
      <w:r>
        <w:rPr>
          <w:rFonts w:hint="eastAsia" w:ascii="方正小标宋_GBK" w:hAnsi="宋体" w:eastAsia="方正小标宋_GBK"/>
          <w:spacing w:val="-4"/>
          <w:w w:val="98"/>
          <w:sz w:val="44"/>
          <w:szCs w:val="44"/>
        </w:rPr>
        <w:t>海外人才智力“海鸥计划”项目申报工作的通知</w:t>
      </w:r>
    </w:p>
    <w:p>
      <w:pPr>
        <w:adjustRightInd w:val="0"/>
        <w:snapToGrid w:val="0"/>
        <w:spacing w:line="600" w:lineRule="atLeast"/>
        <w:ind w:firstLine="640" w:firstLineChars="200"/>
        <w:rPr>
          <w:rFonts w:hint="eastAsia" w:ascii="仿宋_GB2312" w:hAnsi="Times New Roman" w:eastAsia="仿宋_GB2312"/>
          <w:sz w:val="32"/>
          <w:szCs w:val="32"/>
        </w:rPr>
      </w:pPr>
    </w:p>
    <w:p>
      <w:pPr>
        <w:adjustRightInd w:val="0"/>
        <w:snapToGrid w:val="0"/>
        <w:spacing w:line="600" w:lineRule="atLeast"/>
        <w:rPr>
          <w:rFonts w:hint="eastAsia" w:ascii="仿宋_GB2312" w:hAnsi="Times New Roman" w:eastAsia="仿宋_GB2312"/>
          <w:sz w:val="32"/>
          <w:szCs w:val="32"/>
        </w:rPr>
      </w:pPr>
      <w:bookmarkStart w:id="0" w:name="OLE_LINK20"/>
      <w:bookmarkStart w:id="1" w:name="OLE_LINK18"/>
      <w:bookmarkStart w:id="2" w:name="OLE_LINK19"/>
      <w:bookmarkStart w:id="3" w:name="OLE_LINK17"/>
      <w:bookmarkStart w:id="4" w:name="OLE_LINK1"/>
      <w:bookmarkStart w:id="5" w:name="OLE_LINK2"/>
      <w:r>
        <w:rPr>
          <w:rFonts w:hint="eastAsia" w:ascii="仿宋_GB2312" w:hAnsi="Times New Roman" w:eastAsia="仿宋_GB2312"/>
          <w:sz w:val="32"/>
          <w:szCs w:val="32"/>
        </w:rPr>
        <w:t>各市、区科技局，苏州工业园区工委组织部，市各有关单位</w:t>
      </w:r>
      <w:bookmarkEnd w:id="0"/>
      <w:bookmarkEnd w:id="1"/>
      <w:bookmarkEnd w:id="2"/>
      <w:bookmarkEnd w:id="3"/>
      <w:r>
        <w:rPr>
          <w:rFonts w:hint="eastAsia" w:ascii="仿宋_GB2312" w:hAnsi="Times New Roman" w:eastAsia="仿宋_GB2312"/>
          <w:sz w:val="32"/>
          <w:szCs w:val="32"/>
        </w:rPr>
        <w:t>：</w:t>
      </w:r>
      <w:bookmarkEnd w:id="4"/>
      <w:bookmarkEnd w:id="5"/>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eastAsia="仿宋_GB2312"/>
          <w:sz w:val="32"/>
          <w:szCs w:val="32"/>
        </w:rPr>
        <w:t>为贯彻落实苏州市委十二届十一次全会精神，奋力肩负起“争当表率、争做示范、走在前列”的新使命，深入实施创新驱动发展战略，着力打造科技强市和建设“创业者乐园，创新者天堂”，为苏州打造向世界展示社会主义现代化的“最美窗口”提供有力科技支撑，</w:t>
      </w:r>
      <w:r>
        <w:rPr>
          <w:rFonts w:hint="eastAsia" w:ascii="仿宋_GB2312" w:hAnsi="Times New Roman" w:eastAsia="仿宋_GB2312"/>
          <w:sz w:val="32"/>
          <w:szCs w:val="32"/>
        </w:rPr>
        <w:t>根据市人才办、市科技局、市财政局《关于深入实施“海鸥计划”柔性引进海外人才智力的实施办法》(苏人才办〔2019〕5号，以下简称“海鸥计划”)精神，现组织开展2021年苏州市柔性引进海外人才智力“海鸥计划”项目申报工作，有关事项和要求布置如下：</w:t>
      </w:r>
    </w:p>
    <w:p>
      <w:pPr>
        <w:pStyle w:val="4"/>
        <w:adjustRightInd w:val="0"/>
        <w:snapToGrid w:val="0"/>
        <w:spacing w:line="600" w:lineRule="atLeast"/>
        <w:ind w:firstLine="640"/>
        <w:rPr>
          <w:rFonts w:hint="eastAsia" w:ascii="黑体" w:hAnsi="黑体" w:eastAsia="黑体"/>
          <w:sz w:val="32"/>
          <w:szCs w:val="32"/>
        </w:rPr>
      </w:pPr>
      <w:r>
        <w:rPr>
          <w:rFonts w:hint="eastAsia" w:ascii="黑体" w:hAnsi="黑体" w:eastAsia="黑体"/>
          <w:sz w:val="32"/>
          <w:szCs w:val="32"/>
        </w:rPr>
        <w:t>一、申报要求</w:t>
      </w:r>
    </w:p>
    <w:p>
      <w:pPr>
        <w:adjustRightInd w:val="0"/>
        <w:snapToGrid w:val="0"/>
        <w:spacing w:line="600" w:lineRule="atLeast"/>
        <w:ind w:firstLine="632" w:firstLineChars="200"/>
        <w:rPr>
          <w:rFonts w:hint="eastAsia" w:ascii="仿宋_GB2312" w:hAnsi="黑体" w:eastAsia="仿宋_GB2312"/>
          <w:spacing w:val="-2"/>
          <w:sz w:val="32"/>
          <w:szCs w:val="32"/>
        </w:rPr>
      </w:pPr>
      <w:r>
        <w:rPr>
          <w:rFonts w:hint="eastAsia" w:ascii="仿宋_GB2312" w:hAnsi="Times New Roman" w:eastAsia="仿宋_GB2312"/>
          <w:bCs/>
          <w:spacing w:val="-2"/>
          <w:sz w:val="32"/>
          <w:szCs w:val="32"/>
        </w:rPr>
        <w:t>“海鸥计划”是指通过打破国籍、地域、身份、人事关系等人才流动中的刚性制约，坚持以用为本，充分体现个人意愿和用人单位自主权，以契约管理为基础的柔性引进海外人才智力的方式。</w:t>
      </w:r>
    </w:p>
    <w:p>
      <w:pPr>
        <w:adjustRightInd w:val="0"/>
        <w:snapToGrid w:val="0"/>
        <w:spacing w:line="600" w:lineRule="atLeas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（一）申报对象</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1.外籍专家；</w:t>
      </w:r>
    </w:p>
    <w:p>
      <w:pPr>
        <w:adjustRightInd w:val="0"/>
        <w:snapToGrid w:val="0"/>
        <w:spacing w:line="600" w:lineRule="atLeast"/>
        <w:ind w:firstLine="640" w:firstLineChars="200"/>
        <w:rPr>
          <w:rFonts w:hint="eastAsia" w:ascii="仿宋_GB2312" w:hAnsi="Times New Roman" w:eastAsia="仿宋_GB2312" w:cs="仿宋_GB2312"/>
          <w:kern w:val="0"/>
          <w:sz w:val="32"/>
          <w:szCs w:val="32"/>
        </w:rPr>
      </w:pPr>
      <w:r>
        <w:rPr>
          <w:rFonts w:hint="eastAsia" w:ascii="仿宋_GB2312" w:hAnsi="Times New Roman" w:eastAsia="仿宋_GB2312"/>
          <w:sz w:val="32"/>
          <w:szCs w:val="32"/>
        </w:rPr>
        <w:t>2.</w:t>
      </w:r>
      <w:r>
        <w:rPr>
          <w:rFonts w:hint="eastAsia" w:ascii="仿宋_GB2312" w:hAnsi="Times New Roman" w:eastAsia="仿宋_GB2312" w:cs="仿宋_GB2312"/>
          <w:kern w:val="0"/>
          <w:sz w:val="32"/>
          <w:szCs w:val="32"/>
        </w:rPr>
        <w:t>尚未取得外国国籍，但长期在海外工作或定居的人才。</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cs="仿宋_GB2312"/>
          <w:kern w:val="0"/>
          <w:sz w:val="32"/>
          <w:szCs w:val="32"/>
        </w:rPr>
        <w:t>以上对象需以柔性方式在我市用人单位主持或参与实质性项目</w:t>
      </w:r>
      <w:r>
        <w:rPr>
          <w:rFonts w:hint="eastAsia" w:ascii="仿宋_GB2312" w:hAnsi="Times New Roman" w:eastAsia="仿宋_GB2312"/>
          <w:sz w:val="32"/>
          <w:szCs w:val="32"/>
        </w:rPr>
        <w:t>。</w:t>
      </w:r>
    </w:p>
    <w:p>
      <w:pPr>
        <w:adjustRightInd w:val="0"/>
        <w:snapToGrid w:val="0"/>
        <w:spacing w:line="600" w:lineRule="atLeas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（二）申报条件</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1.申报单位为在苏州大市范围内注册登记，具有独立法人资格的各类企事业单位，重点支持高新技术企业、技术先进型企业等科技型企业，以及建有市级（含）以上研发平台的企事业单位；</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2.用人单位与人才签订的项目协议或者工作协议中明确的年在苏工作时间不少于10个工作日；</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3.柔性引智采用阶段性全职在苏工作方式的外籍专家，合同期原则上不超过三年。</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以下情况不在申报资助范围：</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1.已全职在苏创新创业的海外人才；</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2.已获苏州市级（含）以上其他人才计划支持的海外人才；</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3.同一企业（集团）中不同子公司（事业部）间的人才派遣。</w:t>
      </w:r>
    </w:p>
    <w:p>
      <w:pPr>
        <w:adjustRightInd w:val="0"/>
        <w:snapToGrid w:val="0"/>
        <w:spacing w:line="600" w:lineRule="atLeas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（三）申报类别</w:t>
      </w:r>
    </w:p>
    <w:p>
      <w:pPr>
        <w:adjustRightInd w:val="0"/>
        <w:snapToGrid w:val="0"/>
        <w:spacing w:line="600" w:lineRule="atLeast"/>
        <w:ind w:firstLine="627" w:firstLineChars="200"/>
        <w:rPr>
          <w:rFonts w:hint="eastAsia" w:ascii="仿宋_GB2312" w:hAnsi="Times New Roman" w:eastAsia="仿宋_GB2312"/>
          <w:b/>
          <w:bCs/>
          <w:spacing w:val="-4"/>
          <w:sz w:val="32"/>
          <w:szCs w:val="32"/>
        </w:rPr>
      </w:pPr>
      <w:r>
        <w:rPr>
          <w:rFonts w:hint="eastAsia" w:ascii="仿宋_GB2312" w:hAnsi="Times New Roman" w:eastAsia="仿宋_GB2312"/>
          <w:b/>
          <w:bCs/>
          <w:spacing w:val="-4"/>
          <w:sz w:val="32"/>
          <w:szCs w:val="32"/>
        </w:rPr>
        <w:t>1.战略科技发展类人才</w:t>
      </w:r>
    </w:p>
    <w:p>
      <w:pPr>
        <w:adjustRightInd w:val="0"/>
        <w:snapToGrid w:val="0"/>
        <w:spacing w:line="600" w:lineRule="atLeast"/>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支持引进具备在关键核心技术和自主知识产权上实现重大突破潜质的海外人才及其团队。重点支持</w:t>
      </w:r>
      <w:r>
        <w:rPr>
          <w:rFonts w:hint="eastAsia" w:ascii="仿宋_GB2312" w:hAnsi="Times New Roman" w:eastAsia="仿宋_GB2312" w:cs="仿宋_GB2312"/>
          <w:spacing w:val="-4"/>
          <w:kern w:val="0"/>
          <w:sz w:val="32"/>
          <w:szCs w:val="32"/>
        </w:rPr>
        <w:t>电子信息、新材料、新能源、高端装备制造等我市优势产业和新一代信息技术、生物医药、纳米技术、人工智能等我市先导产业的科技创新需求。</w:t>
      </w:r>
      <w:r>
        <w:rPr>
          <w:rFonts w:hint="eastAsia" w:ascii="仿宋_GB2312" w:hAnsi="Times New Roman" w:eastAsia="仿宋_GB2312"/>
          <w:spacing w:val="-4"/>
          <w:sz w:val="32"/>
          <w:szCs w:val="32"/>
        </w:rPr>
        <w:t xml:space="preserve"> </w:t>
      </w:r>
    </w:p>
    <w:p>
      <w:pPr>
        <w:adjustRightInd w:val="0"/>
        <w:snapToGrid w:val="0"/>
        <w:spacing w:line="600" w:lineRule="atLeast"/>
        <w:ind w:firstLine="627" w:firstLineChars="200"/>
        <w:rPr>
          <w:rFonts w:hint="eastAsia" w:ascii="仿宋_GB2312" w:hAnsi="Times New Roman" w:eastAsia="仿宋_GB2312"/>
          <w:b/>
          <w:bCs/>
          <w:spacing w:val="-4"/>
          <w:sz w:val="32"/>
          <w:szCs w:val="32"/>
        </w:rPr>
      </w:pPr>
      <w:r>
        <w:rPr>
          <w:rFonts w:hint="eastAsia" w:ascii="仿宋_GB2312" w:hAnsi="Times New Roman" w:eastAsia="仿宋_GB2312"/>
          <w:b/>
          <w:bCs/>
          <w:spacing w:val="-4"/>
          <w:sz w:val="32"/>
          <w:szCs w:val="32"/>
        </w:rPr>
        <w:t>2.产业技术创新类人才</w:t>
      </w:r>
    </w:p>
    <w:p>
      <w:pPr>
        <w:adjustRightInd w:val="0"/>
        <w:snapToGrid w:val="0"/>
        <w:spacing w:line="600" w:lineRule="atLeast"/>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围绕产业转型升级、创新发展，大力引进各类技术创新人才，推动关键技术、生产工艺、产品设计新突破，产生重大经济和社会效益。支持引进具有跨国经营、跨文化管理能力的企业家和战略规划海外人才及其团队。</w:t>
      </w:r>
    </w:p>
    <w:p>
      <w:pPr>
        <w:adjustRightInd w:val="0"/>
        <w:snapToGrid w:val="0"/>
        <w:spacing w:line="600" w:lineRule="atLeast"/>
        <w:ind w:firstLine="627" w:firstLineChars="200"/>
        <w:rPr>
          <w:rFonts w:hint="eastAsia" w:ascii="仿宋_GB2312" w:hAnsi="Times New Roman" w:eastAsia="仿宋_GB2312"/>
          <w:b/>
          <w:bCs/>
          <w:spacing w:val="-4"/>
          <w:sz w:val="32"/>
          <w:szCs w:val="32"/>
        </w:rPr>
      </w:pPr>
      <w:r>
        <w:rPr>
          <w:rFonts w:hint="eastAsia" w:ascii="仿宋_GB2312" w:hAnsi="Times New Roman" w:eastAsia="仿宋_GB2312"/>
          <w:b/>
          <w:bCs/>
          <w:spacing w:val="-4"/>
          <w:sz w:val="32"/>
          <w:szCs w:val="32"/>
        </w:rPr>
        <w:t>3.社会与生态建设类人才</w:t>
      </w:r>
    </w:p>
    <w:p>
      <w:pPr>
        <w:adjustRightInd w:val="0"/>
        <w:snapToGrid w:val="0"/>
        <w:spacing w:line="600" w:lineRule="atLeast"/>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围绕社会治理能力现代化和生态文明建设，支持引进在社会发展各领域具有较高学术造诣、实践经验丰富、对华友好的海外人才及其团队，推动我市医药卫生、社会保障、金融保险、法律法规、语言文字、文化艺术、现代服务业等领域健康发展；着力引进能够推动绿色发展、解决环境突出问题、推动生态系统保护，在实施区域协调与可持续发展中发挥重要作用的海外人才及其团队。</w:t>
      </w:r>
    </w:p>
    <w:p>
      <w:pPr>
        <w:adjustRightInd w:val="0"/>
        <w:snapToGrid w:val="0"/>
        <w:spacing w:line="600" w:lineRule="atLeast"/>
        <w:ind w:firstLine="627" w:firstLineChars="200"/>
        <w:rPr>
          <w:rFonts w:hint="eastAsia" w:ascii="仿宋_GB2312" w:hAnsi="Times New Roman" w:eastAsia="仿宋_GB2312"/>
          <w:b/>
          <w:bCs/>
          <w:spacing w:val="-4"/>
          <w:sz w:val="32"/>
          <w:szCs w:val="32"/>
        </w:rPr>
      </w:pPr>
      <w:r>
        <w:rPr>
          <w:rFonts w:hint="eastAsia" w:ascii="仿宋_GB2312" w:hAnsi="Times New Roman" w:eastAsia="仿宋_GB2312"/>
          <w:b/>
          <w:bCs/>
          <w:spacing w:val="-4"/>
          <w:sz w:val="32"/>
          <w:szCs w:val="32"/>
        </w:rPr>
        <w:t>4.农业与乡村振兴类人才</w:t>
      </w:r>
    </w:p>
    <w:p>
      <w:pPr>
        <w:adjustRightInd w:val="0"/>
        <w:snapToGrid w:val="0"/>
        <w:spacing w:line="600" w:lineRule="atLeast"/>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服务乡村振兴战略，以推动农业农村科技创新优先发展为主攻方向，大力引进符合我市农业农村发展规划，能够引入国外优良品种、种植养殖技术、安全生产和检测技术、先进生产经营方式，促进高产、优质、高效、生态、安全的现代农业发展的海外农业人才及其团队。</w:t>
      </w:r>
    </w:p>
    <w:p>
      <w:pPr>
        <w:pStyle w:val="4"/>
        <w:adjustRightInd w:val="0"/>
        <w:snapToGrid w:val="0"/>
        <w:spacing w:line="600" w:lineRule="atLeast"/>
        <w:ind w:firstLine="640"/>
        <w:rPr>
          <w:rFonts w:hint="eastAsia" w:ascii="黑体" w:hAnsi="黑体" w:eastAsia="黑体"/>
          <w:sz w:val="32"/>
          <w:szCs w:val="32"/>
        </w:rPr>
      </w:pPr>
      <w:r>
        <w:rPr>
          <w:rFonts w:hint="eastAsia" w:ascii="黑体" w:hAnsi="黑体" w:eastAsia="黑体"/>
          <w:sz w:val="32"/>
          <w:szCs w:val="32"/>
        </w:rPr>
        <w:t>二、资助标准</w:t>
      </w:r>
    </w:p>
    <w:p>
      <w:pPr>
        <w:adjustRightInd w:val="0"/>
        <w:snapToGrid w:val="0"/>
        <w:spacing w:line="600" w:lineRule="atLeast"/>
        <w:ind w:firstLine="640" w:firstLineChars="200"/>
        <w:rPr>
          <w:rFonts w:hint="eastAsia" w:ascii="仿宋_GB2312" w:hAnsi="黑体" w:eastAsia="仿宋_GB2312"/>
          <w:sz w:val="32"/>
          <w:szCs w:val="32"/>
        </w:rPr>
      </w:pPr>
      <w:r>
        <w:rPr>
          <w:rFonts w:hint="eastAsia" w:ascii="仿宋_GB2312" w:hAnsi="Times New Roman" w:eastAsia="仿宋_GB2312"/>
          <w:sz w:val="32"/>
          <w:szCs w:val="32"/>
        </w:rPr>
        <w:t>“海鸥计划”采取事后补贴方式。以引智对象所作贡献为依据，按照绩效择优补贴，分为在用人单位领取工薪和不在用人单位领取工薪两大类，具体资助标准如下：</w:t>
      </w:r>
    </w:p>
    <w:p>
      <w:pPr>
        <w:shd w:val="clear" w:color="auto" w:fill="FFFFFF"/>
        <w:adjustRightInd w:val="0"/>
        <w:snapToGrid w:val="0"/>
        <w:spacing w:line="600" w:lineRule="atLeast"/>
        <w:ind w:firstLine="640" w:firstLineChars="200"/>
        <w:rPr>
          <w:rFonts w:hint="eastAsia" w:ascii="仿宋_GB2312" w:hAnsi="Helvetica" w:eastAsia="仿宋_GB2312" w:cs="宋体"/>
          <w:kern w:val="0"/>
          <w:sz w:val="32"/>
          <w:szCs w:val="32"/>
        </w:rPr>
      </w:pPr>
      <w:r>
        <w:rPr>
          <w:rFonts w:hint="eastAsia" w:ascii="仿宋_GB2312" w:hAnsi="Times New Roman" w:eastAsia="仿宋_GB2312" w:cs="宋体"/>
          <w:kern w:val="0"/>
          <w:sz w:val="32"/>
          <w:szCs w:val="32"/>
        </w:rPr>
        <w:t>（一）</w:t>
      </w:r>
      <w:r>
        <w:rPr>
          <w:rFonts w:hint="eastAsia" w:ascii="仿宋_GB2312" w:hAnsi="Times New Roman" w:eastAsia="仿宋_GB2312"/>
          <w:kern w:val="0"/>
          <w:sz w:val="32"/>
          <w:szCs w:val="32"/>
        </w:rPr>
        <w:t>在用人单位领取工薪的，用人单位实际支付计税工薪应高于5万元。工薪在5万～10万元的，按工薪的25%给予用人单位引才补贴；工薪在10万～20万元的，按工薪的30%给予用人单位引才补贴；工薪在20万元以上的，按工薪的35%给予用人单位引才补贴。</w:t>
      </w:r>
      <w:r>
        <w:rPr>
          <w:rFonts w:hint="eastAsia" w:ascii="仿宋_GB2312" w:hAnsi="Times New Roman" w:eastAsia="仿宋_GB2312"/>
          <w:sz w:val="32"/>
          <w:szCs w:val="32"/>
        </w:rPr>
        <w:t>单个项目(人才)补贴最高60万元。</w:t>
      </w:r>
      <w:r>
        <w:rPr>
          <w:rFonts w:hint="eastAsia" w:ascii="仿宋_GB2312" w:hAnsi="Times New Roman" w:eastAsia="仿宋_GB2312"/>
          <w:kern w:val="0"/>
          <w:sz w:val="32"/>
          <w:szCs w:val="32"/>
        </w:rPr>
        <w:t>高端外国专家按</w:t>
      </w:r>
      <w:r>
        <w:rPr>
          <w:rFonts w:hint="eastAsia" w:ascii="仿宋_GB2312" w:hAnsi="Times New Roman" w:eastAsia="仿宋_GB2312"/>
          <w:sz w:val="32"/>
          <w:szCs w:val="32"/>
        </w:rPr>
        <w:t>工薪的60％进行补贴，单个项目（人才）补贴最高100万元。（具体标准见附件1）</w:t>
      </w:r>
    </w:p>
    <w:p>
      <w:pPr>
        <w:overflowPunct w:val="0"/>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（二）不在用人单位领取工薪的，按国际旅费、零用费、生活费以及城市间交通费综合核算补贴经费（具体标准见附件2）。单个项目（人才）补贴最高30万元。</w:t>
      </w:r>
    </w:p>
    <w:p>
      <w:pPr>
        <w:overflowPunct w:val="0"/>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符合海鸥计划申报条件并入选省级以上引进国外技术、管理人才项目计划的外籍专家，直接列入“海鸥计划”给予同比例支持。单个项目（人才）补贴最高60万元。</w:t>
      </w:r>
    </w:p>
    <w:p>
      <w:pPr>
        <w:pStyle w:val="4"/>
        <w:adjustRightInd w:val="0"/>
        <w:snapToGrid w:val="0"/>
        <w:spacing w:line="600" w:lineRule="atLeast"/>
        <w:ind w:firstLine="640"/>
        <w:rPr>
          <w:rFonts w:hint="eastAsia" w:ascii="黑体" w:hAnsi="黑体" w:eastAsia="黑体"/>
          <w:sz w:val="32"/>
          <w:szCs w:val="32"/>
        </w:rPr>
      </w:pPr>
      <w:r>
        <w:rPr>
          <w:rFonts w:hint="eastAsia" w:ascii="黑体" w:hAnsi="黑体" w:eastAsia="黑体"/>
          <w:sz w:val="32"/>
          <w:szCs w:val="32"/>
        </w:rPr>
        <w:t>三、申报程序及评审办法</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各单位申报材料向属地市、区科技局提交，统一审核后集中向市科技局申报。所有申报均应由申报单位先网上填报，经所在市、区科技局网上初审、市科技局网上审核通过后，统一从网上打印申报表呈报。市科技局将及时组织专家进行评审，拟补贴名单报市人才办主任会议审议后，视情在一定范围内公示，公示无异议的，确定资助名单后统一发文。</w:t>
      </w:r>
    </w:p>
    <w:p>
      <w:pPr>
        <w:pStyle w:val="4"/>
        <w:adjustRightInd w:val="0"/>
        <w:snapToGrid w:val="0"/>
        <w:spacing w:line="600" w:lineRule="atLeast"/>
        <w:ind w:firstLine="640"/>
        <w:rPr>
          <w:rFonts w:hint="eastAsia" w:ascii="黑体" w:hAnsi="黑体" w:eastAsia="黑体"/>
          <w:sz w:val="32"/>
          <w:szCs w:val="32"/>
        </w:rPr>
      </w:pPr>
      <w:r>
        <w:rPr>
          <w:rFonts w:hint="eastAsia" w:ascii="黑体" w:hAnsi="黑体" w:eastAsia="黑体"/>
          <w:sz w:val="32"/>
          <w:szCs w:val="32"/>
        </w:rPr>
        <w:t>四、呈报材料要求</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各申报单位上报《苏州市柔性引进海外人才智力“海鸥计划”项目申请表》（申请表网上打印，加盖公章）以及附件证明材料（附件材料清单网上打印）纸质合订本一式一份以及对应电子版材料。</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各市、区科技局除报送申报单位提供的材料外，另提供申报函以及《苏州市柔性引进海外人才智力“海鸥计划”项目申报汇总表》（网上打印，加盖公章）纸质版一式一份。</w:t>
      </w:r>
    </w:p>
    <w:p>
      <w:pPr>
        <w:pStyle w:val="4"/>
        <w:adjustRightInd w:val="0"/>
        <w:snapToGrid w:val="0"/>
        <w:spacing w:line="600" w:lineRule="atLeast"/>
        <w:ind w:firstLine="640"/>
        <w:rPr>
          <w:rFonts w:hint="eastAsia" w:ascii="黑体" w:hAnsi="黑体" w:eastAsia="黑体"/>
          <w:sz w:val="32"/>
          <w:szCs w:val="32"/>
        </w:rPr>
      </w:pPr>
      <w:r>
        <w:rPr>
          <w:rFonts w:hint="eastAsia" w:ascii="黑体" w:hAnsi="黑体" w:eastAsia="黑体"/>
          <w:sz w:val="32"/>
          <w:szCs w:val="32"/>
        </w:rPr>
        <w:t>五、注意事项</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申报项目须为2018年7月及以后完成或正在开展的项目。</w:t>
      </w:r>
    </w:p>
    <w:p>
      <w:pPr>
        <w:adjustRightInd w:val="0"/>
        <w:snapToGrid w:val="0"/>
        <w:spacing w:line="600" w:lineRule="atLeas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申报时间：</w:t>
      </w:r>
      <w:r>
        <w:rPr>
          <w:rFonts w:hint="eastAsia" w:ascii="仿宋_GB2312" w:eastAsia="仿宋_GB2312"/>
          <w:kern w:val="0"/>
          <w:sz w:val="32"/>
          <w:szCs w:val="32"/>
        </w:rPr>
        <w:t>项目网络申报时间为6月20日至</w:t>
      </w:r>
      <w:r>
        <w:rPr>
          <w:rFonts w:hint="eastAsia" w:ascii="仿宋_GB2312" w:hAnsi="Times New Roman" w:eastAsia="仿宋_GB2312"/>
          <w:kern w:val="0"/>
          <w:sz w:val="32"/>
          <w:szCs w:val="32"/>
        </w:rPr>
        <w:t>8</w:t>
      </w:r>
      <w:r>
        <w:rPr>
          <w:rFonts w:hint="eastAsia" w:ascii="仿宋_GB2312" w:eastAsia="仿宋_GB2312"/>
          <w:kern w:val="0"/>
          <w:sz w:val="32"/>
          <w:szCs w:val="32"/>
        </w:rPr>
        <w:t>月</w:t>
      </w:r>
      <w:r>
        <w:rPr>
          <w:rFonts w:hint="eastAsia" w:ascii="仿宋_GB2312" w:hAnsi="Times New Roman" w:eastAsia="仿宋_GB2312"/>
          <w:kern w:val="0"/>
          <w:sz w:val="32"/>
          <w:szCs w:val="32"/>
        </w:rPr>
        <w:t>5</w:t>
      </w:r>
      <w:r>
        <w:rPr>
          <w:rFonts w:hint="eastAsia" w:ascii="仿宋_GB2312" w:eastAsia="仿宋_GB2312"/>
          <w:kern w:val="0"/>
          <w:sz w:val="32"/>
          <w:szCs w:val="32"/>
        </w:rPr>
        <w:t>日。纸质材料在</w:t>
      </w:r>
      <w:r>
        <w:rPr>
          <w:rFonts w:hint="eastAsia" w:ascii="仿宋_GB2312" w:hAnsi="Times New Roman" w:eastAsia="仿宋_GB2312"/>
          <w:kern w:val="0"/>
          <w:sz w:val="32"/>
          <w:szCs w:val="32"/>
        </w:rPr>
        <w:t>8</w:t>
      </w:r>
      <w:r>
        <w:rPr>
          <w:rFonts w:hint="eastAsia" w:ascii="仿宋_GB2312" w:eastAsia="仿宋_GB2312"/>
          <w:kern w:val="0"/>
          <w:sz w:val="32"/>
          <w:szCs w:val="32"/>
        </w:rPr>
        <w:t>月</w:t>
      </w:r>
      <w:r>
        <w:rPr>
          <w:rFonts w:hint="eastAsia" w:ascii="仿宋_GB2312" w:hAnsi="Times New Roman" w:eastAsia="仿宋_GB2312"/>
          <w:kern w:val="0"/>
          <w:sz w:val="32"/>
          <w:szCs w:val="32"/>
        </w:rPr>
        <w:t>20</w:t>
      </w:r>
      <w:r>
        <w:rPr>
          <w:rFonts w:hint="eastAsia" w:ascii="仿宋_GB2312" w:eastAsia="仿宋_GB2312"/>
          <w:kern w:val="0"/>
          <w:sz w:val="32"/>
          <w:szCs w:val="32"/>
        </w:rPr>
        <w:t>日</w:t>
      </w:r>
      <w:r>
        <w:rPr>
          <w:rFonts w:hint="eastAsia" w:ascii="仿宋_GB2312" w:hAnsi="Times New Roman" w:eastAsia="仿宋_GB2312"/>
          <w:kern w:val="0"/>
          <w:sz w:val="32"/>
          <w:szCs w:val="32"/>
        </w:rPr>
        <w:t>17</w:t>
      </w:r>
      <w:r>
        <w:rPr>
          <w:rFonts w:hint="eastAsia" w:ascii="仿宋_GB2312" w:eastAsia="仿宋_GB2312"/>
          <w:kern w:val="0"/>
          <w:sz w:val="32"/>
          <w:szCs w:val="32"/>
        </w:rPr>
        <w:t>：</w:t>
      </w:r>
      <w:r>
        <w:rPr>
          <w:rFonts w:hint="eastAsia" w:ascii="仿宋_GB2312" w:hAnsi="Times New Roman" w:eastAsia="仿宋_GB2312"/>
          <w:kern w:val="0"/>
          <w:sz w:val="32"/>
          <w:szCs w:val="32"/>
        </w:rPr>
        <w:t>00</w:t>
      </w:r>
      <w:r>
        <w:rPr>
          <w:rFonts w:hint="eastAsia" w:ascii="仿宋_GB2312" w:eastAsia="仿宋_GB2312"/>
          <w:kern w:val="0"/>
          <w:sz w:val="32"/>
          <w:szCs w:val="32"/>
        </w:rPr>
        <w:t>前交至</w:t>
      </w:r>
      <w:r>
        <w:rPr>
          <w:rFonts w:hint="eastAsia" w:ascii="仿宋_GB2312" w:eastAsia="仿宋_GB2312"/>
          <w:sz w:val="32"/>
          <w:szCs w:val="32"/>
        </w:rPr>
        <w:t>苏州市高新区邓尉路1号苏州市双创中心2楼产业促进科</w:t>
      </w:r>
      <w:r>
        <w:rPr>
          <w:rFonts w:hint="eastAsia" w:ascii="仿宋_GB2312" w:eastAsia="仿宋_GB2312"/>
          <w:kern w:val="0"/>
          <w:sz w:val="32"/>
          <w:szCs w:val="32"/>
        </w:rPr>
        <w:t>（节假日不受理）。</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网上申报网址：申报单位登陆苏州市科技局网站（http://kjj.suzhou.gov.cn）点击“苏州科技计划项目管理系统”（进入后见右下方图标）。</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网上申报分单位注册和项目及专家资金信息登记两部分，分别审核，只有单位注册审核通过后才能进行项目及专家资金信息登记。前期已通过网上注册的单位，可直接申报项目和专家资金信息。申报期间各市、区科技局应有专人每天及时初审网上信息。</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联系人方式：</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业务咨询：市外国专家局（引智办）吴 霄、顾 静 65119071、65110092</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材料受理：市科技服务中心产业促进科 时彦华 </w:t>
      </w:r>
      <w:r>
        <w:rPr>
          <w:rFonts w:hint="eastAsia" w:ascii="Times New Roman" w:hAnsi="Times New Roman" w:eastAsia="仿宋_GB2312"/>
          <w:sz w:val="32"/>
          <w:szCs w:val="32"/>
        </w:rPr>
        <w:t> </w:t>
      </w:r>
      <w:r>
        <w:rPr>
          <w:rFonts w:hint="eastAsia" w:ascii="仿宋_GB2312" w:hAnsi="Times New Roman" w:eastAsia="仿宋_GB2312"/>
          <w:sz w:val="32"/>
          <w:szCs w:val="32"/>
        </w:rPr>
        <w:t>65239010</w:t>
      </w: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系统技术支持：69820316</w:t>
      </w:r>
    </w:p>
    <w:p>
      <w:pPr>
        <w:adjustRightInd w:val="0"/>
        <w:snapToGrid w:val="0"/>
        <w:spacing w:line="600" w:lineRule="atLeast"/>
        <w:ind w:firstLine="640" w:firstLineChars="200"/>
        <w:rPr>
          <w:rFonts w:hint="eastAsia" w:ascii="仿宋_GB2312" w:hAnsi="Times New Roman" w:eastAsia="仿宋_GB2312"/>
          <w:sz w:val="32"/>
          <w:szCs w:val="32"/>
        </w:rPr>
      </w:pPr>
    </w:p>
    <w:p>
      <w:pPr>
        <w:adjustRightInd w:val="0"/>
        <w:snapToGrid w:val="0"/>
        <w:spacing w:line="60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附件：1.在单位领取工薪类型的补贴标准</w:t>
      </w:r>
    </w:p>
    <w:p>
      <w:pPr>
        <w:adjustRightInd w:val="0"/>
        <w:snapToGrid w:val="0"/>
        <w:spacing w:line="600" w:lineRule="atLeast"/>
        <w:ind w:firstLine="1600" w:firstLineChars="500"/>
        <w:rPr>
          <w:rFonts w:hint="eastAsia" w:ascii="仿宋_GB2312" w:hAnsi="Times New Roman" w:eastAsia="仿宋_GB2312"/>
          <w:sz w:val="32"/>
          <w:szCs w:val="32"/>
        </w:rPr>
      </w:pPr>
      <w:r>
        <w:rPr>
          <w:rFonts w:hint="eastAsia" w:ascii="仿宋_GB2312" w:hAnsi="Times New Roman" w:eastAsia="仿宋_GB2312"/>
          <w:sz w:val="32"/>
          <w:szCs w:val="32"/>
        </w:rPr>
        <w:t>2.不在单位领取工薪类型的补贴标准</w:t>
      </w:r>
    </w:p>
    <w:p>
      <w:pPr>
        <w:adjustRightInd w:val="0"/>
        <w:snapToGrid w:val="0"/>
        <w:spacing w:line="600" w:lineRule="atLeast"/>
        <w:ind w:firstLine="640" w:firstLineChars="200"/>
        <w:rPr>
          <w:rFonts w:hint="eastAsia" w:ascii="仿宋_GB2312" w:hAnsi="Times New Roman" w:eastAsia="仿宋_GB2312"/>
          <w:sz w:val="32"/>
          <w:szCs w:val="32"/>
        </w:rPr>
      </w:pPr>
    </w:p>
    <w:p>
      <w:pPr>
        <w:adjustRightInd w:val="0"/>
        <w:snapToGrid w:val="0"/>
        <w:spacing w:line="600" w:lineRule="atLeast"/>
        <w:ind w:firstLine="640" w:firstLineChars="200"/>
        <w:jc w:val="right"/>
        <w:rPr>
          <w:rFonts w:hint="eastAsia" w:ascii="仿宋_GB2312" w:hAnsi="Times New Roman" w:eastAsia="仿宋_GB2312"/>
          <w:sz w:val="32"/>
          <w:szCs w:val="32"/>
        </w:rPr>
      </w:pPr>
      <w:r>
        <w:rPr>
          <w:rFonts w:hint="eastAsia" w:ascii="仿宋_GB2312" w:hAnsi="Times New Roman" w:eastAsia="仿宋_GB2312"/>
          <w:sz w:val="32"/>
          <w:szCs w:val="32"/>
        </w:rPr>
        <w:t>苏州市科学技术局</w:t>
      </w:r>
    </w:p>
    <w:p>
      <w:pPr>
        <w:adjustRightInd w:val="0"/>
        <w:snapToGrid w:val="0"/>
        <w:spacing w:line="600" w:lineRule="atLeast"/>
        <w:ind w:firstLine="640" w:firstLineChars="200"/>
        <w:jc w:val="right"/>
        <w:rPr>
          <w:rFonts w:hint="eastAsia" w:ascii="仿宋_GB2312" w:hAnsi="Times New Roman" w:eastAsia="仿宋_GB2312"/>
          <w:sz w:val="32"/>
          <w:szCs w:val="32"/>
        </w:rPr>
      </w:pPr>
      <w:r>
        <w:rPr>
          <w:rFonts w:hint="eastAsia" w:ascii="仿宋_GB2312" w:hAnsi="Times New Roman" w:eastAsia="仿宋_GB2312"/>
          <w:sz w:val="32"/>
          <w:szCs w:val="32"/>
        </w:rPr>
        <w:t xml:space="preserve">                             2021年6月8日</w:t>
      </w:r>
    </w:p>
    <w:p>
      <w:pPr>
        <w:overflowPunct w:val="0"/>
        <w:adjustRightInd w:val="0"/>
        <w:snapToGrid w:val="0"/>
        <w:spacing w:line="580" w:lineRule="exact"/>
        <w:rPr>
          <w:rFonts w:hint="eastAsia" w:ascii="黑体" w:hAnsi="黑体" w:eastAsia="黑体"/>
          <w:sz w:val="32"/>
          <w:szCs w:val="32"/>
        </w:rPr>
      </w:pPr>
    </w:p>
    <w:p>
      <w:pPr>
        <w:overflowPunct w:val="0"/>
        <w:adjustRightInd w:val="0"/>
        <w:snapToGrid w:val="0"/>
        <w:spacing w:line="580" w:lineRule="exact"/>
        <w:rPr>
          <w:rFonts w:hint="eastAsia" w:ascii="黑体" w:hAnsi="黑体" w:eastAsia="黑体"/>
          <w:sz w:val="32"/>
          <w:szCs w:val="32"/>
        </w:rPr>
      </w:pPr>
    </w:p>
    <w:p>
      <w:pPr>
        <w:overflowPunct w:val="0"/>
        <w:adjustRightInd w:val="0"/>
        <w:snapToGrid w:val="0"/>
        <w:spacing w:line="580" w:lineRule="exact"/>
        <w:rPr>
          <w:rFonts w:ascii="黑体" w:hAnsi="黑体" w:eastAsia="黑体"/>
          <w:sz w:val="32"/>
          <w:szCs w:val="32"/>
        </w:rPr>
      </w:pPr>
      <w:r>
        <w:rPr>
          <w:rFonts w:hint="eastAsia" w:ascii="黑体" w:hAnsi="黑体" w:eastAsia="黑体"/>
          <w:sz w:val="32"/>
          <w:szCs w:val="32"/>
        </w:rPr>
        <w:t>附件1</w:t>
      </w:r>
    </w:p>
    <w:p>
      <w:pPr>
        <w:shd w:val="clear" w:color="auto" w:fill="FFFFFF"/>
        <w:adjustRightInd w:val="0"/>
        <w:snapToGrid w:val="0"/>
        <w:spacing w:before="120" w:beforeLines="50" w:after="120" w:afterLines="50" w:line="240" w:lineRule="atLeas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在单位领取工薪类型的补贴</w:t>
      </w:r>
      <w:r>
        <w:rPr>
          <w:rFonts w:ascii="Times New Roman" w:hAnsi="Times New Roman" w:eastAsia="方正小标宋简体"/>
          <w:bCs/>
          <w:sz w:val="44"/>
          <w:szCs w:val="44"/>
        </w:rPr>
        <w:t>标准</w:t>
      </w:r>
    </w:p>
    <w:tbl>
      <w:tblPr>
        <w:tblStyle w:val="2"/>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361"/>
        <w:gridCol w:w="1182"/>
        <w:gridCol w:w="3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noWrap w:val="0"/>
            <w:vAlign w:val="center"/>
          </w:tcPr>
          <w:p>
            <w:pPr>
              <w:adjustRightInd w:val="0"/>
              <w:snapToGrid w:val="0"/>
              <w:spacing w:line="320" w:lineRule="exact"/>
              <w:jc w:val="center"/>
              <w:rPr>
                <w:rFonts w:ascii="黑体" w:hAnsi="黑体" w:eastAsia="黑体"/>
                <w:spacing w:val="-4"/>
                <w:szCs w:val="21"/>
              </w:rPr>
            </w:pPr>
            <w:r>
              <w:rPr>
                <w:rFonts w:hint="eastAsia" w:ascii="黑体" w:hAnsi="黑体" w:eastAsia="黑体"/>
                <w:spacing w:val="-4"/>
                <w:szCs w:val="21"/>
              </w:rPr>
              <w:t>类  型</w:t>
            </w:r>
          </w:p>
        </w:tc>
        <w:tc>
          <w:tcPr>
            <w:tcW w:w="3361" w:type="dxa"/>
            <w:noWrap w:val="0"/>
            <w:vAlign w:val="center"/>
          </w:tcPr>
          <w:p>
            <w:pPr>
              <w:adjustRightInd w:val="0"/>
              <w:snapToGrid w:val="0"/>
              <w:spacing w:line="320" w:lineRule="exact"/>
              <w:jc w:val="center"/>
              <w:rPr>
                <w:rFonts w:ascii="黑体" w:hAnsi="黑体" w:eastAsia="黑体"/>
                <w:spacing w:val="-4"/>
                <w:szCs w:val="21"/>
              </w:rPr>
            </w:pPr>
            <w:r>
              <w:rPr>
                <w:rFonts w:hint="eastAsia" w:ascii="黑体" w:hAnsi="黑体" w:eastAsia="黑体"/>
                <w:spacing w:val="-4"/>
                <w:szCs w:val="21"/>
              </w:rPr>
              <w:t>实际支付的计缴所得税的工薪</w:t>
            </w:r>
          </w:p>
        </w:tc>
        <w:tc>
          <w:tcPr>
            <w:tcW w:w="1182" w:type="dxa"/>
            <w:noWrap w:val="0"/>
            <w:vAlign w:val="center"/>
          </w:tcPr>
          <w:p>
            <w:pPr>
              <w:adjustRightInd w:val="0"/>
              <w:snapToGrid w:val="0"/>
              <w:spacing w:line="320" w:lineRule="exact"/>
              <w:jc w:val="center"/>
              <w:rPr>
                <w:rFonts w:ascii="黑体" w:hAnsi="黑体" w:eastAsia="黑体"/>
                <w:spacing w:val="-4"/>
                <w:szCs w:val="21"/>
              </w:rPr>
            </w:pPr>
            <w:r>
              <w:rPr>
                <w:rFonts w:hint="eastAsia" w:ascii="黑体" w:hAnsi="黑体" w:eastAsia="黑体"/>
                <w:spacing w:val="-4"/>
                <w:szCs w:val="21"/>
              </w:rPr>
              <w:t>补贴比例</w:t>
            </w:r>
          </w:p>
        </w:tc>
        <w:tc>
          <w:tcPr>
            <w:tcW w:w="3010" w:type="dxa"/>
            <w:noWrap w:val="0"/>
            <w:vAlign w:val="center"/>
          </w:tcPr>
          <w:p>
            <w:pPr>
              <w:adjustRightInd w:val="0"/>
              <w:snapToGrid w:val="0"/>
              <w:spacing w:line="320" w:lineRule="exact"/>
              <w:jc w:val="center"/>
              <w:rPr>
                <w:rFonts w:ascii="黑体" w:hAnsi="黑体" w:eastAsia="黑体"/>
                <w:spacing w:val="-4"/>
                <w:szCs w:val="21"/>
              </w:rPr>
            </w:pPr>
            <w:r>
              <w:rPr>
                <w:rFonts w:hint="eastAsia" w:ascii="黑体" w:hAnsi="黑体" w:eastAsia="黑体"/>
                <w:spacing w:val="-4"/>
                <w:szCs w:val="21"/>
              </w:rPr>
              <w:t>单个项目(人才)最高补贴额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高端外国专家</w:t>
            </w:r>
          </w:p>
        </w:tc>
        <w:tc>
          <w:tcPr>
            <w:tcW w:w="3361" w:type="dxa"/>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5万元（含）以上</w:t>
            </w:r>
          </w:p>
        </w:tc>
        <w:tc>
          <w:tcPr>
            <w:tcW w:w="1182" w:type="dxa"/>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6</w:t>
            </w:r>
            <w:r>
              <w:rPr>
                <w:rFonts w:ascii="宋体" w:hAnsi="宋体"/>
                <w:spacing w:val="-4"/>
                <w:szCs w:val="21"/>
              </w:rPr>
              <w:t>0%</w:t>
            </w:r>
          </w:p>
        </w:tc>
        <w:tc>
          <w:tcPr>
            <w:tcW w:w="3010" w:type="dxa"/>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100万元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restart"/>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其他</w:t>
            </w:r>
          </w:p>
        </w:tc>
        <w:tc>
          <w:tcPr>
            <w:tcW w:w="3361" w:type="dxa"/>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5万元（含）以上、10万元以下</w:t>
            </w:r>
          </w:p>
        </w:tc>
        <w:tc>
          <w:tcPr>
            <w:tcW w:w="1182" w:type="dxa"/>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25%</w:t>
            </w:r>
          </w:p>
        </w:tc>
        <w:tc>
          <w:tcPr>
            <w:tcW w:w="3010" w:type="dxa"/>
            <w:vMerge w:val="restart"/>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60万元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noWrap w:val="0"/>
            <w:vAlign w:val="center"/>
          </w:tcPr>
          <w:p>
            <w:pPr>
              <w:adjustRightInd w:val="0"/>
              <w:snapToGrid w:val="0"/>
              <w:spacing w:line="320" w:lineRule="exact"/>
              <w:jc w:val="center"/>
              <w:rPr>
                <w:rFonts w:ascii="宋体" w:hAnsi="宋体"/>
                <w:spacing w:val="-4"/>
                <w:szCs w:val="21"/>
              </w:rPr>
            </w:pPr>
          </w:p>
        </w:tc>
        <w:tc>
          <w:tcPr>
            <w:tcW w:w="3361" w:type="dxa"/>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10万元（含）以上、20万元以下</w:t>
            </w:r>
          </w:p>
        </w:tc>
        <w:tc>
          <w:tcPr>
            <w:tcW w:w="1182" w:type="dxa"/>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30%</w:t>
            </w:r>
          </w:p>
        </w:tc>
        <w:tc>
          <w:tcPr>
            <w:tcW w:w="3010" w:type="dxa"/>
            <w:vMerge w:val="continue"/>
            <w:noWrap w:val="0"/>
            <w:vAlign w:val="center"/>
          </w:tcPr>
          <w:p>
            <w:pPr>
              <w:adjustRightInd w:val="0"/>
              <w:snapToGrid w:val="0"/>
              <w:spacing w:line="320" w:lineRule="exact"/>
              <w:jc w:val="center"/>
              <w:rPr>
                <w:rFonts w:ascii="宋体" w:hAnsi="宋体"/>
                <w:spacing w:val="-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noWrap w:val="0"/>
            <w:vAlign w:val="center"/>
          </w:tcPr>
          <w:p>
            <w:pPr>
              <w:adjustRightInd w:val="0"/>
              <w:snapToGrid w:val="0"/>
              <w:spacing w:line="320" w:lineRule="exact"/>
              <w:jc w:val="center"/>
              <w:rPr>
                <w:rFonts w:ascii="宋体" w:hAnsi="宋体"/>
                <w:spacing w:val="-4"/>
                <w:szCs w:val="21"/>
              </w:rPr>
            </w:pPr>
          </w:p>
        </w:tc>
        <w:tc>
          <w:tcPr>
            <w:tcW w:w="3361" w:type="dxa"/>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20万元（含）以上</w:t>
            </w:r>
          </w:p>
        </w:tc>
        <w:tc>
          <w:tcPr>
            <w:tcW w:w="1182" w:type="dxa"/>
            <w:noWrap w:val="0"/>
            <w:vAlign w:val="center"/>
          </w:tcPr>
          <w:p>
            <w:pPr>
              <w:adjustRightInd w:val="0"/>
              <w:snapToGrid w:val="0"/>
              <w:spacing w:line="320" w:lineRule="exact"/>
              <w:jc w:val="center"/>
              <w:rPr>
                <w:rFonts w:ascii="宋体" w:hAnsi="宋体"/>
                <w:spacing w:val="-4"/>
                <w:szCs w:val="21"/>
              </w:rPr>
            </w:pPr>
            <w:r>
              <w:rPr>
                <w:rFonts w:hint="eastAsia" w:ascii="宋体" w:hAnsi="宋体"/>
                <w:spacing w:val="-4"/>
                <w:szCs w:val="21"/>
              </w:rPr>
              <w:t>35%</w:t>
            </w:r>
          </w:p>
        </w:tc>
        <w:tc>
          <w:tcPr>
            <w:tcW w:w="3010" w:type="dxa"/>
            <w:vMerge w:val="continue"/>
            <w:noWrap w:val="0"/>
            <w:vAlign w:val="center"/>
          </w:tcPr>
          <w:p>
            <w:pPr>
              <w:adjustRightInd w:val="0"/>
              <w:snapToGrid w:val="0"/>
              <w:spacing w:line="320" w:lineRule="exact"/>
              <w:jc w:val="center"/>
              <w:rPr>
                <w:rFonts w:ascii="宋体" w:hAnsi="宋体"/>
                <w:spacing w:val="-4"/>
                <w:szCs w:val="21"/>
              </w:rPr>
            </w:pPr>
          </w:p>
        </w:tc>
      </w:tr>
    </w:tbl>
    <w:p>
      <w:pPr>
        <w:adjustRightInd w:val="0"/>
        <w:snapToGrid w:val="0"/>
        <w:spacing w:line="360" w:lineRule="auto"/>
        <w:rPr>
          <w:rFonts w:ascii="Times New Roman" w:hAnsi="Times New Roman" w:eastAsia="仿宋_GB2312"/>
          <w:sz w:val="28"/>
          <w:szCs w:val="28"/>
        </w:rPr>
      </w:pPr>
    </w:p>
    <w:p>
      <w:pPr>
        <w:adjustRightInd w:val="0"/>
        <w:snapToGrid w:val="0"/>
        <w:spacing w:line="360" w:lineRule="auto"/>
        <w:ind w:firstLine="480" w:firstLineChars="200"/>
        <w:rPr>
          <w:rFonts w:ascii="楷体_GB2312" w:hAnsi="Times New Roman" w:eastAsia="楷体_GB2312"/>
          <w:sz w:val="24"/>
        </w:rPr>
      </w:pPr>
      <w:r>
        <w:rPr>
          <w:rFonts w:hint="eastAsia" w:ascii="楷体_GB2312" w:hAnsi="Times New Roman" w:eastAsia="楷体_GB2312"/>
          <w:sz w:val="24"/>
        </w:rPr>
        <w:t>注：“高端外国专家”是指《外国人来华工作分类标准（试行）》外国高端人才（A类）第二条规定的“符合国际公认的专业成就认定标准的”外国专家，具体包括诺贝尔奖获得者，发达国家科学院院士、工程院院士，各国科技计划项目成果负责人、首席科学家或主要成员，各国国立研究所或国家实验室主任负责人、高级研究员等外国专家。</w:t>
      </w: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附件2</w:t>
      </w:r>
    </w:p>
    <w:p>
      <w:pPr>
        <w:shd w:val="clear" w:color="auto" w:fill="FFFFFF"/>
        <w:adjustRightInd w:val="0"/>
        <w:snapToGrid w:val="0"/>
        <w:spacing w:before="120" w:beforeLines="50" w:after="120" w:afterLines="50" w:line="240" w:lineRule="atLeas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不在单位领取工薪类型的补贴标准</w:t>
      </w:r>
    </w:p>
    <w:p>
      <w:pPr>
        <w:overflowPunct w:val="0"/>
        <w:adjustRightInd w:val="0"/>
        <w:snapToGrid w:val="0"/>
        <w:spacing w:line="360" w:lineRule="auto"/>
        <w:jc w:val="right"/>
        <w:rPr>
          <w:rFonts w:ascii="楷体_GB2312" w:hAnsi="Times New Roman" w:eastAsia="楷体_GB2312"/>
          <w:sz w:val="28"/>
          <w:szCs w:val="28"/>
        </w:rPr>
      </w:pPr>
      <w:r>
        <w:rPr>
          <w:rFonts w:hint="eastAsia" w:ascii="楷体_GB2312" w:hAnsi="Times New Roman" w:eastAsia="楷体_GB2312"/>
          <w:sz w:val="28"/>
          <w:szCs w:val="28"/>
        </w:rPr>
        <w:t>单位：人民币元</w:t>
      </w:r>
      <w:r>
        <w:rPr>
          <w:rFonts w:ascii="楷体_GB2312" w:hAnsi="Times New Roman" w:eastAsia="楷体_GB2312"/>
          <w:sz w:val="28"/>
          <w:szCs w:val="28"/>
        </w:rPr>
        <w:t>/</w:t>
      </w:r>
      <w:r>
        <w:rPr>
          <w:rFonts w:hint="eastAsia" w:ascii="楷体_GB2312" w:hAnsi="Times New Roman" w:eastAsia="楷体_GB2312"/>
          <w:sz w:val="28"/>
          <w:szCs w:val="28"/>
        </w:rPr>
        <w:t>人次</w:t>
      </w:r>
    </w:p>
    <w:tbl>
      <w:tblPr>
        <w:tblStyle w:val="2"/>
        <w:tblW w:w="9099" w:type="dxa"/>
        <w:tblInd w:w="9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96"/>
        <w:gridCol w:w="1218"/>
        <w:gridCol w:w="1559"/>
        <w:gridCol w:w="38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10" w:type="dxa"/>
            <w:noWrap w:val="0"/>
            <w:vAlign w:val="center"/>
          </w:tcPr>
          <w:p>
            <w:pPr>
              <w:widowControl/>
              <w:overflowPunct w:val="0"/>
              <w:adjustRightInd w:val="0"/>
              <w:snapToGrid w:val="0"/>
              <w:spacing w:line="320" w:lineRule="exact"/>
              <w:jc w:val="center"/>
              <w:rPr>
                <w:rFonts w:ascii="黑体" w:hAnsi="黑体" w:eastAsia="黑体"/>
                <w:szCs w:val="21"/>
              </w:rPr>
            </w:pPr>
            <w:r>
              <w:rPr>
                <w:rFonts w:ascii="黑体" w:hAnsi="黑体" w:eastAsia="黑体"/>
                <w:szCs w:val="21"/>
              </w:rPr>
              <w:t>序号</w:t>
            </w:r>
          </w:p>
        </w:tc>
        <w:tc>
          <w:tcPr>
            <w:tcW w:w="1596" w:type="dxa"/>
            <w:noWrap w:val="0"/>
            <w:vAlign w:val="center"/>
          </w:tcPr>
          <w:p>
            <w:pPr>
              <w:widowControl/>
              <w:overflowPunct w:val="0"/>
              <w:adjustRightInd w:val="0"/>
              <w:snapToGrid w:val="0"/>
              <w:spacing w:line="320" w:lineRule="exact"/>
              <w:jc w:val="center"/>
              <w:rPr>
                <w:rFonts w:ascii="黑体" w:hAnsi="黑体" w:eastAsia="黑体"/>
                <w:szCs w:val="21"/>
              </w:rPr>
            </w:pPr>
            <w:r>
              <w:rPr>
                <w:rFonts w:hint="eastAsia" w:ascii="黑体" w:hAnsi="黑体" w:eastAsia="黑体"/>
                <w:szCs w:val="21"/>
              </w:rPr>
              <w:t>科目名称</w:t>
            </w:r>
          </w:p>
        </w:tc>
        <w:tc>
          <w:tcPr>
            <w:tcW w:w="1218" w:type="dxa"/>
            <w:noWrap w:val="0"/>
            <w:vAlign w:val="center"/>
          </w:tcPr>
          <w:p>
            <w:pPr>
              <w:widowControl/>
              <w:overflowPunct w:val="0"/>
              <w:adjustRightInd w:val="0"/>
              <w:snapToGrid w:val="0"/>
              <w:spacing w:line="320" w:lineRule="exact"/>
              <w:jc w:val="center"/>
              <w:rPr>
                <w:rFonts w:ascii="黑体" w:hAnsi="黑体" w:eastAsia="黑体"/>
                <w:szCs w:val="21"/>
              </w:rPr>
            </w:pPr>
            <w:r>
              <w:rPr>
                <w:rFonts w:hint="eastAsia" w:ascii="黑体" w:hAnsi="黑体" w:eastAsia="黑体"/>
                <w:szCs w:val="21"/>
              </w:rPr>
              <w:t>补贴标准</w:t>
            </w:r>
          </w:p>
        </w:tc>
        <w:tc>
          <w:tcPr>
            <w:tcW w:w="1559" w:type="dxa"/>
            <w:noWrap w:val="0"/>
            <w:vAlign w:val="center"/>
          </w:tcPr>
          <w:p>
            <w:pPr>
              <w:widowControl/>
              <w:overflowPunct w:val="0"/>
              <w:adjustRightInd w:val="0"/>
              <w:snapToGrid w:val="0"/>
              <w:spacing w:line="320" w:lineRule="exact"/>
              <w:jc w:val="center"/>
              <w:rPr>
                <w:rFonts w:ascii="黑体" w:hAnsi="黑体" w:eastAsia="黑体"/>
                <w:szCs w:val="21"/>
              </w:rPr>
            </w:pPr>
            <w:r>
              <w:rPr>
                <w:rFonts w:hint="eastAsia" w:ascii="黑体" w:hAnsi="黑体" w:eastAsia="黑体"/>
                <w:szCs w:val="21"/>
              </w:rPr>
              <w:t>补贴标准上限</w:t>
            </w:r>
          </w:p>
        </w:tc>
        <w:tc>
          <w:tcPr>
            <w:tcW w:w="3816" w:type="dxa"/>
            <w:noWrap w:val="0"/>
            <w:vAlign w:val="center"/>
          </w:tcPr>
          <w:p>
            <w:pPr>
              <w:widowControl/>
              <w:overflowPunct w:val="0"/>
              <w:adjustRightInd w:val="0"/>
              <w:snapToGrid w:val="0"/>
              <w:spacing w:line="320" w:lineRule="exact"/>
              <w:jc w:val="center"/>
              <w:rPr>
                <w:rFonts w:ascii="黑体" w:hAnsi="黑体" w:eastAsia="黑体"/>
                <w:szCs w:val="21"/>
              </w:rPr>
            </w:pPr>
            <w:r>
              <w:rPr>
                <w:rFonts w:hint="eastAsia" w:ascii="黑体" w:hAnsi="黑体" w:eastAsia="黑体"/>
                <w:szCs w:val="21"/>
              </w:rPr>
              <w:t>备</w:t>
            </w:r>
            <w:r>
              <w:rPr>
                <w:rFonts w:ascii="黑体" w:hAnsi="黑体" w:eastAsia="黑体"/>
                <w:szCs w:val="21"/>
              </w:rPr>
              <w:t xml:space="preserve"> </w:t>
            </w:r>
            <w:r>
              <w:rPr>
                <w:rFonts w:hint="eastAsia" w:ascii="黑体" w:hAnsi="黑体" w:eastAsia="黑体"/>
                <w:szCs w:val="21"/>
              </w:rPr>
              <w:t xml:space="preserve">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10" w:type="dxa"/>
            <w:noWrap w:val="0"/>
            <w:vAlign w:val="center"/>
          </w:tcPr>
          <w:p>
            <w:pPr>
              <w:widowControl/>
              <w:overflowPunct w:val="0"/>
              <w:adjustRightInd w:val="0"/>
              <w:snapToGrid w:val="0"/>
              <w:spacing w:line="320" w:lineRule="exact"/>
              <w:jc w:val="center"/>
              <w:rPr>
                <w:rFonts w:ascii="宋体" w:hAnsi="宋体"/>
                <w:szCs w:val="21"/>
              </w:rPr>
            </w:pPr>
            <w:r>
              <w:rPr>
                <w:rFonts w:ascii="宋体" w:hAnsi="宋体"/>
                <w:szCs w:val="21"/>
              </w:rPr>
              <w:t>1</w:t>
            </w:r>
          </w:p>
        </w:tc>
        <w:tc>
          <w:tcPr>
            <w:tcW w:w="1596" w:type="dxa"/>
            <w:noWrap w:val="0"/>
            <w:vAlign w:val="center"/>
          </w:tcPr>
          <w:p>
            <w:pPr>
              <w:widowControl/>
              <w:overflowPunct w:val="0"/>
              <w:adjustRightInd w:val="0"/>
              <w:snapToGrid w:val="0"/>
              <w:spacing w:line="320" w:lineRule="exact"/>
              <w:jc w:val="center"/>
              <w:rPr>
                <w:rFonts w:ascii="宋体" w:hAnsi="宋体"/>
                <w:szCs w:val="21"/>
              </w:rPr>
            </w:pPr>
            <w:r>
              <w:rPr>
                <w:rFonts w:hint="eastAsia" w:ascii="宋体" w:hAnsi="宋体"/>
                <w:szCs w:val="21"/>
              </w:rPr>
              <w:t>国际旅费</w:t>
            </w:r>
          </w:p>
        </w:tc>
        <w:tc>
          <w:tcPr>
            <w:tcW w:w="1218" w:type="dxa"/>
            <w:noWrap w:val="0"/>
            <w:vAlign w:val="center"/>
          </w:tcPr>
          <w:p>
            <w:pPr>
              <w:widowControl/>
              <w:overflowPunct w:val="0"/>
              <w:adjustRightInd w:val="0"/>
              <w:snapToGrid w:val="0"/>
              <w:spacing w:line="320" w:lineRule="exact"/>
              <w:jc w:val="center"/>
              <w:rPr>
                <w:rFonts w:ascii="宋体" w:hAnsi="宋体"/>
                <w:szCs w:val="21"/>
              </w:rPr>
            </w:pPr>
            <w:r>
              <w:rPr>
                <w:rFonts w:hint="eastAsia" w:ascii="宋体" w:hAnsi="宋体"/>
                <w:szCs w:val="21"/>
              </w:rPr>
              <w:t>经济舱</w:t>
            </w:r>
          </w:p>
        </w:tc>
        <w:tc>
          <w:tcPr>
            <w:tcW w:w="1559" w:type="dxa"/>
            <w:noWrap w:val="0"/>
            <w:vAlign w:val="center"/>
          </w:tcPr>
          <w:p>
            <w:pPr>
              <w:widowControl/>
              <w:overflowPunct w:val="0"/>
              <w:adjustRightInd w:val="0"/>
              <w:snapToGrid w:val="0"/>
              <w:spacing w:line="320" w:lineRule="exact"/>
              <w:jc w:val="center"/>
              <w:rPr>
                <w:rFonts w:ascii="宋体" w:hAnsi="宋体"/>
                <w:szCs w:val="21"/>
              </w:rPr>
            </w:pPr>
            <w:r>
              <w:rPr>
                <w:rFonts w:ascii="宋体" w:hAnsi="宋体"/>
                <w:szCs w:val="21"/>
              </w:rPr>
              <w:t>15,000</w:t>
            </w:r>
          </w:p>
        </w:tc>
        <w:tc>
          <w:tcPr>
            <w:tcW w:w="3816" w:type="dxa"/>
            <w:noWrap w:val="0"/>
            <w:vAlign w:val="center"/>
          </w:tcPr>
          <w:p>
            <w:pPr>
              <w:overflowPunct w:val="0"/>
              <w:adjustRightInd w:val="0"/>
              <w:snapToGrid w:val="0"/>
              <w:spacing w:line="320" w:lineRule="exact"/>
              <w:rPr>
                <w:rFonts w:ascii="宋体" w:hAnsi="宋体"/>
                <w:szCs w:val="21"/>
              </w:rPr>
            </w:pPr>
            <w:r>
              <w:rPr>
                <w:rFonts w:hint="eastAsia" w:ascii="宋体" w:hAnsi="宋体"/>
                <w:szCs w:val="21"/>
              </w:rPr>
              <w:t>补贴标准内实报实销每次往返经济舱国际机票费用或其他交通费用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10" w:type="dxa"/>
            <w:noWrap w:val="0"/>
            <w:vAlign w:val="center"/>
          </w:tcPr>
          <w:p>
            <w:pPr>
              <w:widowControl/>
              <w:overflowPunct w:val="0"/>
              <w:adjustRightInd w:val="0"/>
              <w:snapToGrid w:val="0"/>
              <w:spacing w:line="320" w:lineRule="exact"/>
              <w:jc w:val="center"/>
              <w:rPr>
                <w:rFonts w:ascii="宋体" w:hAnsi="宋体"/>
                <w:szCs w:val="21"/>
              </w:rPr>
            </w:pPr>
            <w:r>
              <w:rPr>
                <w:rFonts w:ascii="宋体" w:hAnsi="宋体"/>
                <w:szCs w:val="21"/>
              </w:rPr>
              <w:t>2</w:t>
            </w:r>
          </w:p>
        </w:tc>
        <w:tc>
          <w:tcPr>
            <w:tcW w:w="1596" w:type="dxa"/>
            <w:noWrap w:val="0"/>
            <w:vAlign w:val="center"/>
          </w:tcPr>
          <w:p>
            <w:pPr>
              <w:widowControl/>
              <w:overflowPunct w:val="0"/>
              <w:adjustRightInd w:val="0"/>
              <w:snapToGrid w:val="0"/>
              <w:spacing w:line="320" w:lineRule="exact"/>
              <w:jc w:val="center"/>
              <w:rPr>
                <w:rFonts w:ascii="宋体" w:hAnsi="宋体"/>
                <w:szCs w:val="21"/>
              </w:rPr>
            </w:pPr>
            <w:r>
              <w:rPr>
                <w:rFonts w:hint="eastAsia" w:ascii="宋体" w:hAnsi="宋体"/>
                <w:szCs w:val="21"/>
              </w:rPr>
              <w:t>专家零用费</w:t>
            </w:r>
          </w:p>
        </w:tc>
        <w:tc>
          <w:tcPr>
            <w:tcW w:w="1218" w:type="dxa"/>
            <w:noWrap w:val="0"/>
            <w:vAlign w:val="center"/>
          </w:tcPr>
          <w:p>
            <w:pPr>
              <w:widowControl/>
              <w:overflowPunct w:val="0"/>
              <w:adjustRightInd w:val="0"/>
              <w:snapToGrid w:val="0"/>
              <w:spacing w:line="320" w:lineRule="exact"/>
              <w:jc w:val="center"/>
              <w:rPr>
                <w:rFonts w:ascii="宋体" w:hAnsi="宋体"/>
                <w:szCs w:val="21"/>
              </w:rPr>
            </w:pPr>
            <w:r>
              <w:rPr>
                <w:rFonts w:ascii="宋体" w:hAnsi="宋体"/>
                <w:szCs w:val="21"/>
              </w:rPr>
              <w:t>300/</w:t>
            </w:r>
            <w:r>
              <w:rPr>
                <w:rFonts w:hint="eastAsia" w:ascii="宋体" w:hAnsi="宋体"/>
                <w:szCs w:val="21"/>
              </w:rPr>
              <w:t>天</w:t>
            </w:r>
          </w:p>
        </w:tc>
        <w:tc>
          <w:tcPr>
            <w:tcW w:w="1559" w:type="dxa"/>
            <w:noWrap w:val="0"/>
            <w:vAlign w:val="center"/>
          </w:tcPr>
          <w:p>
            <w:pPr>
              <w:widowControl/>
              <w:overflowPunct w:val="0"/>
              <w:adjustRightInd w:val="0"/>
              <w:snapToGrid w:val="0"/>
              <w:spacing w:line="320" w:lineRule="exact"/>
              <w:jc w:val="center"/>
              <w:rPr>
                <w:rFonts w:ascii="宋体" w:hAnsi="宋体"/>
                <w:szCs w:val="21"/>
              </w:rPr>
            </w:pPr>
            <w:r>
              <w:rPr>
                <w:rFonts w:ascii="宋体" w:hAnsi="宋体"/>
                <w:szCs w:val="21"/>
              </w:rPr>
              <w:t>9,000</w:t>
            </w:r>
          </w:p>
        </w:tc>
        <w:tc>
          <w:tcPr>
            <w:tcW w:w="3816" w:type="dxa"/>
            <w:noWrap w:val="0"/>
            <w:vAlign w:val="center"/>
          </w:tcPr>
          <w:p>
            <w:pPr>
              <w:overflowPunct w:val="0"/>
              <w:adjustRightInd w:val="0"/>
              <w:snapToGrid w:val="0"/>
              <w:spacing w:line="320" w:lineRule="exact"/>
              <w:rPr>
                <w:rFonts w:ascii="宋体" w:hAnsi="宋体"/>
                <w:szCs w:val="21"/>
              </w:rPr>
            </w:pPr>
            <w:r>
              <w:rPr>
                <w:rFonts w:hint="eastAsia" w:ascii="宋体" w:hAnsi="宋体"/>
                <w:szCs w:val="21"/>
              </w:rPr>
              <w:t>每次最多补贴天数为</w:t>
            </w:r>
            <w:r>
              <w:rPr>
                <w:rFonts w:ascii="宋体" w:hAnsi="宋体"/>
                <w:szCs w:val="21"/>
              </w:rPr>
              <w:t>30</w:t>
            </w:r>
            <w:r>
              <w:rPr>
                <w:rFonts w:hint="eastAsia" w:ascii="宋体" w:hAnsi="宋体"/>
                <w:szCs w:val="21"/>
              </w:rPr>
              <w:t>天，超出部分由专家聘请单位支付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10" w:type="dxa"/>
            <w:noWrap w:val="0"/>
            <w:vAlign w:val="center"/>
          </w:tcPr>
          <w:p>
            <w:pPr>
              <w:widowControl/>
              <w:overflowPunct w:val="0"/>
              <w:adjustRightInd w:val="0"/>
              <w:snapToGrid w:val="0"/>
              <w:spacing w:line="320" w:lineRule="exact"/>
              <w:jc w:val="center"/>
              <w:rPr>
                <w:rFonts w:ascii="宋体" w:hAnsi="宋体"/>
                <w:szCs w:val="21"/>
              </w:rPr>
            </w:pPr>
            <w:r>
              <w:rPr>
                <w:rFonts w:ascii="宋体" w:hAnsi="宋体"/>
                <w:szCs w:val="21"/>
              </w:rPr>
              <w:t>3</w:t>
            </w:r>
          </w:p>
        </w:tc>
        <w:tc>
          <w:tcPr>
            <w:tcW w:w="1596" w:type="dxa"/>
            <w:noWrap w:val="0"/>
            <w:vAlign w:val="center"/>
          </w:tcPr>
          <w:p>
            <w:pPr>
              <w:widowControl/>
              <w:overflowPunct w:val="0"/>
              <w:adjustRightInd w:val="0"/>
              <w:snapToGrid w:val="0"/>
              <w:spacing w:line="320" w:lineRule="exact"/>
              <w:jc w:val="center"/>
              <w:rPr>
                <w:rFonts w:ascii="宋体" w:hAnsi="宋体"/>
                <w:szCs w:val="21"/>
              </w:rPr>
            </w:pPr>
            <w:r>
              <w:rPr>
                <w:rFonts w:hint="eastAsia" w:ascii="宋体" w:hAnsi="宋体"/>
                <w:szCs w:val="21"/>
              </w:rPr>
              <w:t>专家生活费</w:t>
            </w:r>
          </w:p>
        </w:tc>
        <w:tc>
          <w:tcPr>
            <w:tcW w:w="1218" w:type="dxa"/>
            <w:noWrap w:val="0"/>
            <w:vAlign w:val="center"/>
          </w:tcPr>
          <w:p>
            <w:pPr>
              <w:widowControl/>
              <w:overflowPunct w:val="0"/>
              <w:adjustRightInd w:val="0"/>
              <w:snapToGrid w:val="0"/>
              <w:spacing w:line="320" w:lineRule="exact"/>
              <w:jc w:val="center"/>
              <w:rPr>
                <w:rFonts w:ascii="宋体" w:hAnsi="宋体"/>
                <w:szCs w:val="21"/>
              </w:rPr>
            </w:pPr>
            <w:r>
              <w:rPr>
                <w:rFonts w:ascii="宋体" w:hAnsi="宋体"/>
                <w:szCs w:val="21"/>
              </w:rPr>
              <w:t>600/</w:t>
            </w:r>
            <w:r>
              <w:rPr>
                <w:rFonts w:hint="eastAsia" w:ascii="宋体" w:hAnsi="宋体"/>
                <w:szCs w:val="21"/>
              </w:rPr>
              <w:t>天</w:t>
            </w:r>
          </w:p>
        </w:tc>
        <w:tc>
          <w:tcPr>
            <w:tcW w:w="1559" w:type="dxa"/>
            <w:noWrap w:val="0"/>
            <w:vAlign w:val="center"/>
          </w:tcPr>
          <w:p>
            <w:pPr>
              <w:widowControl/>
              <w:overflowPunct w:val="0"/>
              <w:adjustRightInd w:val="0"/>
              <w:snapToGrid w:val="0"/>
              <w:spacing w:line="320" w:lineRule="exact"/>
              <w:jc w:val="center"/>
              <w:rPr>
                <w:rFonts w:ascii="宋体" w:hAnsi="宋体"/>
                <w:szCs w:val="21"/>
              </w:rPr>
            </w:pPr>
            <w:r>
              <w:rPr>
                <w:rFonts w:ascii="宋体" w:hAnsi="宋体"/>
                <w:szCs w:val="21"/>
              </w:rPr>
              <w:t>18,000</w:t>
            </w:r>
          </w:p>
        </w:tc>
        <w:tc>
          <w:tcPr>
            <w:tcW w:w="3816" w:type="dxa"/>
            <w:noWrap w:val="0"/>
            <w:vAlign w:val="center"/>
          </w:tcPr>
          <w:p>
            <w:pPr>
              <w:overflowPunct w:val="0"/>
              <w:adjustRightInd w:val="0"/>
              <w:snapToGrid w:val="0"/>
              <w:spacing w:line="320" w:lineRule="exact"/>
              <w:rPr>
                <w:rFonts w:ascii="宋体" w:hAnsi="宋体"/>
                <w:szCs w:val="21"/>
              </w:rPr>
            </w:pPr>
            <w:r>
              <w:rPr>
                <w:rFonts w:hint="eastAsia" w:ascii="宋体" w:hAnsi="宋体"/>
                <w:szCs w:val="21"/>
              </w:rPr>
              <w:t>每次最多补贴天数为</w:t>
            </w:r>
            <w:r>
              <w:rPr>
                <w:rFonts w:ascii="宋体" w:hAnsi="宋体"/>
                <w:szCs w:val="21"/>
              </w:rPr>
              <w:t>30</w:t>
            </w:r>
            <w:r>
              <w:rPr>
                <w:rFonts w:hint="eastAsia" w:ascii="宋体" w:hAnsi="宋体"/>
                <w:szCs w:val="21"/>
              </w:rPr>
              <w:t>天，超出部分由专家聘请单位支付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10" w:type="dxa"/>
            <w:noWrap w:val="0"/>
            <w:vAlign w:val="center"/>
          </w:tcPr>
          <w:p>
            <w:pPr>
              <w:widowControl/>
              <w:overflowPunct w:val="0"/>
              <w:adjustRightInd w:val="0"/>
              <w:snapToGrid w:val="0"/>
              <w:spacing w:line="320" w:lineRule="exact"/>
              <w:jc w:val="center"/>
              <w:rPr>
                <w:rFonts w:ascii="宋体" w:hAnsi="宋体"/>
                <w:szCs w:val="21"/>
              </w:rPr>
            </w:pPr>
            <w:r>
              <w:rPr>
                <w:rFonts w:ascii="宋体" w:hAnsi="宋体"/>
                <w:szCs w:val="21"/>
              </w:rPr>
              <w:t>4</w:t>
            </w:r>
          </w:p>
        </w:tc>
        <w:tc>
          <w:tcPr>
            <w:tcW w:w="1596" w:type="dxa"/>
            <w:noWrap w:val="0"/>
            <w:vAlign w:val="center"/>
          </w:tcPr>
          <w:p>
            <w:pPr>
              <w:widowControl/>
              <w:overflowPunct w:val="0"/>
              <w:adjustRightInd w:val="0"/>
              <w:snapToGrid w:val="0"/>
              <w:spacing w:line="320" w:lineRule="exact"/>
              <w:jc w:val="center"/>
              <w:rPr>
                <w:rFonts w:ascii="宋体" w:hAnsi="宋体"/>
                <w:szCs w:val="21"/>
              </w:rPr>
            </w:pPr>
            <w:r>
              <w:rPr>
                <w:rFonts w:hint="eastAsia" w:ascii="宋体" w:hAnsi="宋体"/>
                <w:szCs w:val="21"/>
              </w:rPr>
              <w:t>城市间交通费</w:t>
            </w:r>
          </w:p>
        </w:tc>
        <w:tc>
          <w:tcPr>
            <w:tcW w:w="1218" w:type="dxa"/>
            <w:noWrap w:val="0"/>
            <w:vAlign w:val="center"/>
          </w:tcPr>
          <w:p>
            <w:pPr>
              <w:widowControl/>
              <w:overflowPunct w:val="0"/>
              <w:adjustRightInd w:val="0"/>
              <w:snapToGrid w:val="0"/>
              <w:spacing w:line="320" w:lineRule="exact"/>
              <w:jc w:val="center"/>
              <w:rPr>
                <w:rFonts w:ascii="宋体" w:hAnsi="宋体"/>
                <w:szCs w:val="21"/>
              </w:rPr>
            </w:pPr>
            <w:r>
              <w:rPr>
                <w:rFonts w:hint="eastAsia" w:ascii="宋体" w:hAnsi="宋体"/>
                <w:szCs w:val="21"/>
              </w:rPr>
              <w:t>——</w:t>
            </w:r>
          </w:p>
        </w:tc>
        <w:tc>
          <w:tcPr>
            <w:tcW w:w="1559" w:type="dxa"/>
            <w:noWrap w:val="0"/>
            <w:vAlign w:val="center"/>
          </w:tcPr>
          <w:p>
            <w:pPr>
              <w:widowControl/>
              <w:overflowPunct w:val="0"/>
              <w:adjustRightInd w:val="0"/>
              <w:snapToGrid w:val="0"/>
              <w:spacing w:line="320" w:lineRule="exact"/>
              <w:jc w:val="center"/>
              <w:rPr>
                <w:rFonts w:ascii="宋体" w:hAnsi="宋体"/>
                <w:szCs w:val="21"/>
              </w:rPr>
            </w:pPr>
            <w:r>
              <w:rPr>
                <w:rFonts w:ascii="宋体" w:hAnsi="宋体"/>
                <w:szCs w:val="21"/>
              </w:rPr>
              <w:t>3,000</w:t>
            </w:r>
          </w:p>
        </w:tc>
        <w:tc>
          <w:tcPr>
            <w:tcW w:w="3816" w:type="dxa"/>
            <w:noWrap w:val="0"/>
            <w:vAlign w:val="center"/>
          </w:tcPr>
          <w:p>
            <w:pPr>
              <w:overflowPunct w:val="0"/>
              <w:adjustRightInd w:val="0"/>
              <w:snapToGrid w:val="0"/>
              <w:spacing w:line="320" w:lineRule="exact"/>
              <w:rPr>
                <w:rFonts w:ascii="宋体" w:hAnsi="宋体"/>
                <w:szCs w:val="21"/>
              </w:rPr>
            </w:pPr>
            <w:r>
              <w:rPr>
                <w:rFonts w:hint="eastAsia" w:ascii="宋体" w:hAnsi="宋体"/>
                <w:szCs w:val="21"/>
              </w:rPr>
              <w:t>每次补贴标准内实报实销入（出）境口岸至苏州往返中国境内交通费</w:t>
            </w:r>
          </w:p>
        </w:tc>
      </w:tr>
    </w:tbl>
    <w:p>
      <w:pPr>
        <w:overflowPunct w:val="0"/>
        <w:adjustRightInd w:val="0"/>
        <w:snapToGrid w:val="0"/>
        <w:rPr>
          <w:rFonts w:ascii="楷体_GB2312" w:hAnsi="Times New Roman" w:eastAsia="楷体_GB2312"/>
          <w:sz w:val="28"/>
          <w:szCs w:val="28"/>
        </w:rPr>
      </w:pPr>
    </w:p>
    <w:p>
      <w:pPr>
        <w:overflowPunct w:val="0"/>
        <w:adjustRightInd w:val="0"/>
        <w:snapToGrid w:val="0"/>
        <w:ind w:firstLine="480" w:firstLineChars="200"/>
        <w:rPr>
          <w:rFonts w:ascii="楷体_GB2312" w:hAnsi="Times New Roman" w:eastAsia="楷体_GB2312"/>
          <w:sz w:val="24"/>
        </w:rPr>
      </w:pPr>
      <w:r>
        <w:rPr>
          <w:rFonts w:hint="eastAsia" w:ascii="楷体_GB2312" w:hAnsi="Times New Roman" w:eastAsia="楷体_GB2312"/>
          <w:sz w:val="24"/>
        </w:rPr>
        <w:t>注：以上标准参照国家外国家局发布的《引进人才专家经费管理实施细则》（外专发〔2010〕87号）的相关规定，如国家外国专家局颁布新的经费开支范围和标准，则参照新标准执行。单个项目（人才）累计最高补贴额不超过30万元。</w:t>
      </w:r>
    </w:p>
    <w:p>
      <w:pPr>
        <w:adjustRightInd w:val="0"/>
        <w:snapToGrid w:val="0"/>
        <w:spacing w:line="360" w:lineRule="auto"/>
        <w:rPr>
          <w:rFonts w:ascii="楷体_GB2312" w:hAnsi="Times New Roman" w:eastAsia="楷体_GB2312"/>
          <w:sz w:val="24"/>
        </w:rPr>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D798F"/>
    <w:rsid w:val="5D8D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2021-06-08T11:11:00Z</dcterms:created>
  <dc:creator>松鼠喵huan</dc:creator>
  <cp:lastModifiedBy>松鼠喵huan</cp:lastModifiedBy>
  <dcterms:modified xsi:type="dcterms:W3CDTF">2021-06-08T11:16:24Z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13D2F21E21C2429AB232A541407EA611</vt:lpwstr>
  </property>
</Properties>
</file>