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66" w:rsidRPr="006C0866" w:rsidRDefault="006C0866" w:rsidP="006C08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C0866">
        <w:rPr>
          <w:rFonts w:ascii="Microsoft YaHei UI" w:eastAsia="Microsoft YaHei UI" w:hAnsi="Microsoft YaHei UI" w:cs="宋体" w:hint="eastAsia"/>
          <w:b/>
          <w:bCs/>
          <w:color w:val="D6A841"/>
          <w:spacing w:val="8"/>
          <w:kern w:val="0"/>
          <w:sz w:val="23"/>
        </w:rPr>
        <w:t>一、科技创新创业市长奖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"/>
        <w:gridCol w:w="1865"/>
        <w:gridCol w:w="5301"/>
        <w:gridCol w:w="1988"/>
      </w:tblGrid>
      <w:tr w:rsidR="006C0866" w:rsidRPr="006C0866" w:rsidTr="006C0866">
        <w:trPr>
          <w:trHeight w:val="285"/>
        </w:trPr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序号</w:t>
            </w:r>
          </w:p>
        </w:tc>
        <w:tc>
          <w:tcPr>
            <w:tcW w:w="1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姓名</w:t>
            </w:r>
          </w:p>
        </w:tc>
        <w:tc>
          <w:tcPr>
            <w:tcW w:w="53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所在单位</w:t>
            </w:r>
          </w:p>
        </w:tc>
        <w:tc>
          <w:tcPr>
            <w:tcW w:w="19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职务（职称）</w:t>
            </w:r>
          </w:p>
        </w:tc>
      </w:tr>
      <w:tr w:rsidR="006C0866" w:rsidRPr="006C0866" w:rsidTr="006C0866">
        <w:trPr>
          <w:trHeight w:val="285"/>
        </w:trPr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1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尹剑平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昆山国力电子科技股份有限公司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董事长</w:t>
            </w:r>
          </w:p>
        </w:tc>
      </w:tr>
      <w:tr w:rsidR="006C0866" w:rsidRPr="006C0866" w:rsidTr="006C0866">
        <w:trPr>
          <w:trHeight w:val="285"/>
        </w:trPr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1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张乃千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苏州能讯高能半导体有限公司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董事长</w:t>
            </w:r>
          </w:p>
        </w:tc>
      </w:tr>
    </w:tbl>
    <w:p w:rsidR="006C0866" w:rsidRPr="006C0866" w:rsidRDefault="006C0866" w:rsidP="006C08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C0866">
        <w:rPr>
          <w:rFonts w:ascii="Microsoft YaHei UI" w:eastAsia="Microsoft YaHei UI" w:hAnsi="Microsoft YaHei UI" w:cs="宋体" w:hint="eastAsia"/>
          <w:b/>
          <w:bCs/>
          <w:color w:val="D6A841"/>
          <w:spacing w:val="8"/>
          <w:kern w:val="0"/>
          <w:sz w:val="23"/>
        </w:rPr>
        <w:t>二、科技合作贡献奖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"/>
        <w:gridCol w:w="1803"/>
        <w:gridCol w:w="4746"/>
        <w:gridCol w:w="2715"/>
      </w:tblGrid>
      <w:tr w:rsidR="006C0866" w:rsidRPr="006C0866" w:rsidTr="006C0866">
        <w:trPr>
          <w:trHeight w:val="285"/>
        </w:trPr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序号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姓名</w:t>
            </w:r>
          </w:p>
        </w:tc>
        <w:tc>
          <w:tcPr>
            <w:tcW w:w="4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所在单位</w:t>
            </w:r>
          </w:p>
        </w:tc>
        <w:tc>
          <w:tcPr>
            <w:tcW w:w="2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  <w:sz w:val="23"/>
              </w:rPr>
              <w:t>职务（职称）</w:t>
            </w:r>
          </w:p>
        </w:tc>
      </w:tr>
      <w:tr w:rsidR="006C0866" w:rsidRPr="006C0866" w:rsidTr="006C0866">
        <w:trPr>
          <w:trHeight w:val="285"/>
        </w:trPr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郭凤志</w:t>
            </w:r>
          </w:p>
        </w:tc>
        <w:tc>
          <w:tcPr>
            <w:tcW w:w="47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昆山广钛科创企业服务有限公司</w:t>
            </w:r>
          </w:p>
        </w:tc>
        <w:tc>
          <w:tcPr>
            <w:tcW w:w="2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 w:val="23"/>
                <w:szCs w:val="23"/>
              </w:rPr>
              <w:t>董事兼总经理</w:t>
            </w:r>
          </w:p>
        </w:tc>
      </w:tr>
    </w:tbl>
    <w:p w:rsidR="006C0866" w:rsidRPr="006C0866" w:rsidRDefault="006C0866" w:rsidP="006C08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C0866">
        <w:rPr>
          <w:rFonts w:ascii="Microsoft YaHei UI" w:eastAsia="Microsoft YaHei UI" w:hAnsi="Microsoft YaHei UI" w:cs="宋体" w:hint="eastAsia"/>
          <w:b/>
          <w:bCs/>
          <w:color w:val="D6A841"/>
          <w:spacing w:val="8"/>
          <w:kern w:val="0"/>
          <w:sz w:val="23"/>
          <w:szCs w:val="23"/>
        </w:rPr>
        <w:t>三、科学技术进步奖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142"/>
        <w:gridCol w:w="1422"/>
        <w:gridCol w:w="2696"/>
        <w:gridCol w:w="5036"/>
      </w:tblGrid>
      <w:tr w:rsidR="006C0866" w:rsidRPr="006C0866" w:rsidTr="006C0866">
        <w:trPr>
          <w:trHeight w:val="255"/>
        </w:trPr>
        <w:tc>
          <w:tcPr>
            <w:tcW w:w="1015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383838"/>
                <w:spacing w:val="8"/>
                <w:kern w:val="0"/>
              </w:rPr>
              <w:t>一等奖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序号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项目名称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主要完成人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主要完成单位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三维曲面柔性光学触摸屏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许一青、董良义、齐立斌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昆山三景科技股份有限公司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383838"/>
                <w:spacing w:val="8"/>
                <w:kern w:val="0"/>
              </w:rPr>
              <w:t>二等奖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序号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项目名称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主要完成人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主要完成单位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新型高精度汽车全景天窗及智能焊接技术的研</w:t>
            </w: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发及应用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乐国培、杨俭华、许宁林、范浩杰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苏州飞宇精密科技股份有限公司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银行金库全自动流水线研发及示范应用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陈崇军、王建会、朱瑞乐、郑巨轮、谢尚炬、王河平、韩黎明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昆山古鳌电子机械有限公司、上海古鳌电子科技股份有限公司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超薄节能高均匀度LED平面灯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盛玉林、楼亮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昆山市诚泰电气股份有限公司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纤维原液着色纳米颜料分散体的研发及产业化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吕仕铭、杜长森、付少海、梅成国、梁栋、周华、伍金平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苏州世名科技股份有限公司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383838"/>
                <w:spacing w:val="8"/>
                <w:kern w:val="0"/>
              </w:rPr>
              <w:t>三等奖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序号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项目名称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主要完成人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8"/>
                <w:kern w:val="0"/>
              </w:rPr>
              <w:t>主要完成单位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1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智能型低压配电网自适应防晃电控制系统的研发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姜万东、王晓堃、尹小雨、樊越骁、张仁贵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江苏国网自控科技股份有限公司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2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CLW20-12型户外高压交流真空断路器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钟锦汉、赵迎喜、包悦、宫展力、雷峥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苏州科陆东自电气有限公司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3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A510型FPC柔性电路板电镀设备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刘建波、江泽军、刘涛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昆山东威电镀设备技术有限公司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4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早产儿支气管肺发育不良症的基础与临床研究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朱雪萍、肖志辉、冯星、丁晓春、崔宁迅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苏州大学附属儿童医院、太仓市第一人民医院、宜兴市第二人民医院、苏州市立医院本部、张家港第一人民医院、昆山中医院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5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TMPRSS4、TROP2基因在肿瘤预后中的作用及在胆囊癌中的检测应用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陈敏斌、周丽娜、唐敏、曾平、吴晓阳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昆山市第一人民医院</w:t>
            </w:r>
          </w:p>
        </w:tc>
      </w:tr>
      <w:tr w:rsidR="006C0866" w:rsidRPr="006C0866" w:rsidTr="006C0866">
        <w:trPr>
          <w:trHeight w:val="255"/>
        </w:trPr>
        <w:tc>
          <w:tcPr>
            <w:tcW w:w="10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超分子结构重建的压裂用速溶增稠剂(FHG)的研究</w:t>
            </w:r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何建平、彭树华、陈卫平、邓明宇、叶应庆</w:t>
            </w:r>
          </w:p>
        </w:tc>
        <w:tc>
          <w:tcPr>
            <w:tcW w:w="5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0866" w:rsidRPr="006C0866" w:rsidRDefault="006C0866" w:rsidP="006C086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C0866">
              <w:rPr>
                <w:rFonts w:ascii="Microsoft YaHei UI" w:eastAsia="Microsoft YaHei UI" w:hAnsi="Microsoft YaHei UI" w:cs="宋体" w:hint="eastAsia"/>
                <w:color w:val="383838"/>
                <w:spacing w:val="8"/>
                <w:kern w:val="0"/>
                <w:szCs w:val="21"/>
              </w:rPr>
              <w:t>昆山京昆石油化学科技开发公司</w:t>
            </w:r>
          </w:p>
        </w:tc>
      </w:tr>
    </w:tbl>
    <w:p w:rsidR="00430A0D" w:rsidRPr="006C0866" w:rsidRDefault="001C6F93"/>
    <w:sectPr w:rsidR="00430A0D" w:rsidRPr="006C0866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93" w:rsidRDefault="001C6F93" w:rsidP="006C0866">
      <w:r>
        <w:separator/>
      </w:r>
    </w:p>
  </w:endnote>
  <w:endnote w:type="continuationSeparator" w:id="0">
    <w:p w:rsidR="001C6F93" w:rsidRDefault="001C6F93" w:rsidP="006C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93" w:rsidRDefault="001C6F93" w:rsidP="006C0866">
      <w:r>
        <w:separator/>
      </w:r>
    </w:p>
  </w:footnote>
  <w:footnote w:type="continuationSeparator" w:id="0">
    <w:p w:rsidR="001C6F93" w:rsidRDefault="001C6F93" w:rsidP="006C0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866"/>
    <w:rsid w:val="001C6F93"/>
    <w:rsid w:val="00376D88"/>
    <w:rsid w:val="006C0866"/>
    <w:rsid w:val="00975701"/>
    <w:rsid w:val="00BF1BE6"/>
    <w:rsid w:val="00D22A9A"/>
    <w:rsid w:val="00D8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8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0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2</cp:revision>
  <dcterms:created xsi:type="dcterms:W3CDTF">2018-08-30T07:55:00Z</dcterms:created>
  <dcterms:modified xsi:type="dcterms:W3CDTF">2018-08-30T07:56:00Z</dcterms:modified>
</cp:coreProperties>
</file>