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color w:val="191919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91919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</w:rPr>
        <w:t>度苏州市人工智能应用场景示范项目（拟认定）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</w:rPr>
      </w:pPr>
    </w:p>
    <w:tbl>
      <w:tblPr>
        <w:tblStyle w:val="8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065"/>
        <w:gridCol w:w="135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人工智能应用场景项目名称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应用领域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实施主体/投资主体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新型液晶模组AI检测+大数据示范应用项目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苏州天目光学科技有限公司/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苏州璨曜光电有限公司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超高精度AI识别算法在精细化场景清洁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机器人中的应用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追觅创新科技（苏州）有限公司/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追觅信息技术（苏州）有限公司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基于AI融合感知智能成套装备解决方案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苏州朗坤自动化设备股份有限公司/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苏州朗坤自动化设备股份有限公司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工业控碳数智平台应用示范项目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苏州琅润达检测科技有限公司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新型显示模组后段“分、包、检”制程AI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一体化示范项目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苏州申翰智能机器人有限公司/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苏州华星光电显示有限公司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艾吉威智能AGV物流解决方案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苏州艾吉威机器人有限公司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PCB全厂定制化AI智能复判一体化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百兰智能科技（苏州）有限公司/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常熟东南相互电子有限公司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基于视觉成像技术&amp;人工智能算法的 AOI 检测设备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大帧科技（苏州）有限公司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网联自动驾驶巴士的城市短途接驳示范应用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AI+交通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基于AI技术的智慧隧道运营管理系统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AI+交通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江苏中科智能系统有限公司/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苏州交投建设管理有限公司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青书学堂智能在线教育服务平台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AI+教育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苏州青颖飞帆软件科技股份有限公司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基于人工智能与视觉分析的智慧考场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全场景平台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AI+教育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苏州金瑞阳信息科技有限责任公司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面向生物医药领域的数据驱动智能研发平台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AI+医疗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苏州创腾软件有限公司/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苏州宜联生物医药有限公司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基于多模态神经影像的脑疾病智能辅助诊疗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AI+医疗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苏州国科康成医疗科技有限公司/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苏州工业园区社会精准救助智慧平台项目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AI+政务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苏州城方信息技术有限公司/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苏州新建元数字科技有限公司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以大数据和AI技术为核心引擎的数字政府管理平台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AI+政务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江苏云坤信息科技有限公司/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基于DTCLOUD打造寒山寺文旅元宇宙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元宇宙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中亿丰数字科技集团有限公司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智慧农业大数据服务云平台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AI+农业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布瑞克（苏州）农业互联网股份有限公司/布瑞克农业大数据科技集团有限公司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基于BIM+AR的“数智”桃花坞数字孪生应用系统项目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AI+文旅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苏州智在云数据科技有限公司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智能巡店系统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AI+企业服务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苏州万店掌网络科技有限公司/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苏州天空之城图书有限公司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sectPr>
      <w:pgSz w:w="11906" w:h="16838"/>
      <w:pgMar w:top="1276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ZiMDdlNGNjYmU1ZGE4MGJiMmI5NWM1NTE1MDNiODQifQ=="/>
  </w:docVars>
  <w:rsids>
    <w:rsidRoot w:val="0005505B"/>
    <w:rsid w:val="000319B5"/>
    <w:rsid w:val="0005505B"/>
    <w:rsid w:val="000A566E"/>
    <w:rsid w:val="001A1A25"/>
    <w:rsid w:val="002B41B9"/>
    <w:rsid w:val="002D478E"/>
    <w:rsid w:val="003366AB"/>
    <w:rsid w:val="003840BC"/>
    <w:rsid w:val="004D256B"/>
    <w:rsid w:val="0061713C"/>
    <w:rsid w:val="0062350B"/>
    <w:rsid w:val="0064178C"/>
    <w:rsid w:val="006E6464"/>
    <w:rsid w:val="00711654"/>
    <w:rsid w:val="007634D0"/>
    <w:rsid w:val="007B0BD5"/>
    <w:rsid w:val="00866D54"/>
    <w:rsid w:val="009811D3"/>
    <w:rsid w:val="009F59E3"/>
    <w:rsid w:val="00A32185"/>
    <w:rsid w:val="00A60606"/>
    <w:rsid w:val="00A75506"/>
    <w:rsid w:val="00AB79DE"/>
    <w:rsid w:val="00AC14FA"/>
    <w:rsid w:val="00AE132D"/>
    <w:rsid w:val="00B4378B"/>
    <w:rsid w:val="00CB3FB9"/>
    <w:rsid w:val="00CC5477"/>
    <w:rsid w:val="00D55D94"/>
    <w:rsid w:val="00D70911"/>
    <w:rsid w:val="00EA69D1"/>
    <w:rsid w:val="00EB3BED"/>
    <w:rsid w:val="00F365F6"/>
    <w:rsid w:val="0AA9400A"/>
    <w:rsid w:val="273349FD"/>
    <w:rsid w:val="678952C0"/>
    <w:rsid w:val="67A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xlletr"/>
    <w:basedOn w:val="9"/>
    <w:qFormat/>
    <w:uiPriority w:val="0"/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ly"/>
    <w:basedOn w:val="9"/>
    <w:qFormat/>
    <w:uiPriority w:val="0"/>
  </w:style>
  <w:style w:type="character" w:customStyle="1" w:styleId="18">
    <w:name w:val="date"/>
    <w:basedOn w:val="9"/>
    <w:qFormat/>
    <w:uiPriority w:val="0"/>
  </w:style>
  <w:style w:type="character" w:customStyle="1" w:styleId="19">
    <w:name w:val="llcs"/>
    <w:basedOn w:val="9"/>
    <w:qFormat/>
    <w:uiPriority w:val="0"/>
  </w:style>
  <w:style w:type="character" w:customStyle="1" w:styleId="20">
    <w:name w:val="fontsiz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3</Pages>
  <Words>225</Words>
  <Characters>1287</Characters>
  <Lines>10</Lines>
  <Paragraphs>3</Paragraphs>
  <TotalTime>0</TotalTime>
  <ScaleCrop>false</ScaleCrop>
  <LinksUpToDate>false</LinksUpToDate>
  <CharactersWithSpaces>1509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高小山</dc:creator>
  <cp:lastModifiedBy>一颗糖</cp:lastModifiedBy>
  <cp:lastPrinted>2021-12-24T06:08:00Z</cp:lastPrinted>
  <dcterms:modified xsi:type="dcterms:W3CDTF">2023-12-12T07:38:26Z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CD6E0AF75A70485F8DBCB0967AC5D890_12</vt:lpwstr>
  </property>
</Properties>
</file>