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sz w:val="32"/>
          <w:szCs w:val="32"/>
        </w:rPr>
      </w:pPr>
      <w:r>
        <w:rPr>
          <w:rFonts w:hint="eastAsia"/>
          <w:sz w:val="32"/>
          <w:szCs w:val="32"/>
        </w:rPr>
        <w:t>附件</w:t>
      </w:r>
    </w:p>
    <w:p>
      <w:pPr>
        <w:jc w:val="center"/>
        <w:rPr>
          <w:rFonts w:ascii="宋体" w:hAnsi="宋体" w:eastAsia="宋体"/>
          <w:b/>
          <w:sz w:val="32"/>
          <w:szCs w:val="32"/>
        </w:rPr>
      </w:pPr>
      <w:r>
        <w:rPr>
          <w:rFonts w:hint="eastAsia" w:ascii="宋体" w:hAnsi="宋体" w:eastAsia="宋体"/>
          <w:b/>
          <w:sz w:val="32"/>
          <w:szCs w:val="32"/>
        </w:rPr>
        <w:t>2022年度苏州市生物医药产业创新（临床试验能力提升）项目受理名单</w:t>
      </w:r>
    </w:p>
    <w:tbl>
      <w:tblPr>
        <w:tblStyle w:val="3"/>
        <w:tblpPr w:leftFromText="180" w:rightFromText="180" w:vertAnchor="text" w:horzAnchor="margin" w:tblpY="762"/>
        <w:tblW w:w="14034" w:type="dxa"/>
        <w:tblInd w:w="0" w:type="dxa"/>
        <w:tblLayout w:type="autofit"/>
        <w:tblCellMar>
          <w:top w:w="0" w:type="dxa"/>
          <w:left w:w="108" w:type="dxa"/>
          <w:bottom w:w="0" w:type="dxa"/>
          <w:right w:w="108" w:type="dxa"/>
        </w:tblCellMar>
      </w:tblPr>
      <w:tblGrid>
        <w:gridCol w:w="988"/>
        <w:gridCol w:w="6378"/>
        <w:gridCol w:w="4258"/>
        <w:gridCol w:w="2410"/>
      </w:tblGrid>
      <w:tr>
        <w:tblPrEx>
          <w:tblCellMar>
            <w:top w:w="0" w:type="dxa"/>
            <w:left w:w="108" w:type="dxa"/>
            <w:bottom w:w="0" w:type="dxa"/>
            <w:right w:w="108" w:type="dxa"/>
          </w:tblCellMar>
        </w:tblPrEx>
        <w:tc>
          <w:tcPr>
            <w:tcW w:w="14034" w:type="dxa"/>
            <w:gridSpan w:val="4"/>
            <w:tcBorders>
              <w:bottom w:val="single" w:color="auto" w:sz="4" w:space="0"/>
            </w:tcBorders>
            <w:shd w:val="clear" w:color="auto" w:fill="auto"/>
            <w:noWrap/>
            <w:vAlign w:val="center"/>
          </w:tcPr>
          <w:p>
            <w:pPr>
              <w:widowControl/>
              <w:ind w:firstLine="562" w:firstLineChars="200"/>
              <w:jc w:val="left"/>
              <w:rPr>
                <w:rFonts w:ascii="Courier New" w:hAnsi="Courier New" w:eastAsia="宋体" w:cs="Courier New"/>
                <w:b/>
                <w:bCs/>
                <w:kern w:val="0"/>
                <w:sz w:val="28"/>
                <w:szCs w:val="28"/>
              </w:rPr>
            </w:pPr>
            <w:r>
              <w:rPr>
                <w:rFonts w:hint="eastAsia" w:ascii="Courier New" w:hAnsi="Courier New" w:eastAsia="宋体" w:cs="Courier New"/>
                <w:b/>
                <w:bCs/>
                <w:kern w:val="0"/>
                <w:sz w:val="28"/>
                <w:szCs w:val="28"/>
              </w:rPr>
              <w:t>一</w:t>
            </w:r>
            <w:r>
              <w:rPr>
                <w:rFonts w:ascii="Courier New" w:hAnsi="Courier New" w:eastAsia="宋体" w:cs="Courier New"/>
                <w:b/>
                <w:bCs/>
                <w:kern w:val="0"/>
                <w:sz w:val="28"/>
                <w:szCs w:val="28"/>
              </w:rPr>
              <w:t>、</w:t>
            </w:r>
            <w:r>
              <w:rPr>
                <w:rFonts w:hint="eastAsia" w:ascii="Courier New" w:hAnsi="Courier New" w:eastAsia="宋体" w:cs="Courier New"/>
                <w:b/>
                <w:bCs/>
                <w:kern w:val="0"/>
                <w:sz w:val="28"/>
                <w:szCs w:val="28"/>
              </w:rPr>
              <w:t>临床试验</w:t>
            </w:r>
            <w:r>
              <w:rPr>
                <w:rFonts w:ascii="Courier New" w:hAnsi="Courier New" w:eastAsia="宋体" w:cs="Courier New"/>
                <w:b/>
                <w:bCs/>
                <w:kern w:val="0"/>
                <w:sz w:val="28"/>
                <w:szCs w:val="28"/>
              </w:rPr>
              <w:t>机构能力提升项目</w:t>
            </w:r>
          </w:p>
        </w:tc>
      </w:tr>
      <w:tr>
        <w:tblPrEx>
          <w:tblCellMar>
            <w:top w:w="0" w:type="dxa"/>
            <w:left w:w="108" w:type="dxa"/>
            <w:bottom w:w="0" w:type="dxa"/>
            <w:right w:w="108" w:type="dxa"/>
          </w:tblCellMar>
        </w:tblPrEx>
        <w:trPr>
          <w:cantSpli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b/>
                <w:bCs/>
                <w:kern w:val="0"/>
                <w:sz w:val="28"/>
                <w:szCs w:val="28"/>
              </w:rPr>
            </w:pPr>
            <w:r>
              <w:rPr>
                <w:rFonts w:ascii="Courier New" w:hAnsi="Courier New" w:eastAsia="宋体" w:cs="Courier New"/>
                <w:b/>
                <w:bCs/>
                <w:kern w:val="0"/>
                <w:sz w:val="28"/>
                <w:szCs w:val="28"/>
              </w:rPr>
              <w:t>序号</w:t>
            </w:r>
          </w:p>
        </w:tc>
        <w:tc>
          <w:tcPr>
            <w:tcW w:w="63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b/>
                <w:bCs/>
                <w:kern w:val="0"/>
                <w:sz w:val="28"/>
                <w:szCs w:val="28"/>
              </w:rPr>
            </w:pPr>
            <w:r>
              <w:rPr>
                <w:rFonts w:ascii="Courier New" w:hAnsi="Courier New" w:eastAsia="宋体" w:cs="Courier New"/>
                <w:b/>
                <w:bCs/>
                <w:kern w:val="0"/>
                <w:sz w:val="28"/>
                <w:szCs w:val="28"/>
              </w:rPr>
              <w:t>项目名称</w:t>
            </w:r>
          </w:p>
        </w:tc>
        <w:tc>
          <w:tcPr>
            <w:tcW w:w="42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b/>
                <w:bCs/>
                <w:kern w:val="0"/>
                <w:sz w:val="28"/>
                <w:szCs w:val="28"/>
              </w:rPr>
            </w:pPr>
            <w:r>
              <w:rPr>
                <w:rFonts w:hint="eastAsia" w:ascii="Courier New" w:hAnsi="Courier New" w:eastAsia="宋体" w:cs="Courier New"/>
                <w:b/>
                <w:bCs/>
                <w:kern w:val="0"/>
                <w:sz w:val="28"/>
                <w:szCs w:val="28"/>
              </w:rPr>
              <w:t>申报</w:t>
            </w:r>
            <w:r>
              <w:rPr>
                <w:rFonts w:ascii="Courier New" w:hAnsi="Courier New" w:eastAsia="宋体" w:cs="Courier New"/>
                <w:b/>
                <w:bCs/>
                <w:kern w:val="0"/>
                <w:sz w:val="28"/>
                <w:szCs w:val="28"/>
              </w:rPr>
              <w:t>单位</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b/>
                <w:bCs/>
                <w:kern w:val="0"/>
                <w:sz w:val="28"/>
                <w:szCs w:val="28"/>
              </w:rPr>
            </w:pPr>
            <w:r>
              <w:rPr>
                <w:rFonts w:hint="eastAsia" w:ascii="Courier New" w:hAnsi="Courier New" w:eastAsia="宋体" w:cs="Courier New"/>
                <w:b/>
                <w:bCs/>
                <w:kern w:val="0"/>
                <w:sz w:val="28"/>
                <w:szCs w:val="28"/>
              </w:rPr>
              <w:t>主管部门</w:t>
            </w:r>
          </w:p>
        </w:tc>
      </w:tr>
      <w:tr>
        <w:tblPrEx>
          <w:tblCellMar>
            <w:top w:w="0" w:type="dxa"/>
            <w:left w:w="108" w:type="dxa"/>
            <w:bottom w:w="0" w:type="dxa"/>
            <w:right w:w="108" w:type="dxa"/>
          </w:tblCellMar>
        </w:tblPrEx>
        <w:trPr>
          <w:cantSplit/>
          <w:trHeight w:val="454" w:hRule="exact"/>
        </w:trPr>
        <w:tc>
          <w:tcPr>
            <w:tcW w:w="988"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张家港市第一人民医院检验科临床试验机构能力提升</w:t>
            </w:r>
          </w:p>
        </w:tc>
        <w:tc>
          <w:tcPr>
            <w:tcW w:w="425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张家港市第一人民医院</w:t>
            </w:r>
          </w:p>
        </w:tc>
        <w:tc>
          <w:tcPr>
            <w:tcW w:w="241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454" w:hRule="exact"/>
        </w:trPr>
        <w:tc>
          <w:tcPr>
            <w:tcW w:w="988" w:type="dxa"/>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2</w:t>
            </w:r>
          </w:p>
        </w:tc>
        <w:tc>
          <w:tcPr>
            <w:tcW w:w="6378"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张家港市第一人民医院呼吸内科临床试验机构能力提升</w:t>
            </w:r>
          </w:p>
        </w:tc>
        <w:tc>
          <w:tcPr>
            <w:tcW w:w="425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张家港市第一人民医院</w:t>
            </w:r>
          </w:p>
        </w:tc>
        <w:tc>
          <w:tcPr>
            <w:tcW w:w="241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454" w:hRule="exact"/>
        </w:trPr>
        <w:tc>
          <w:tcPr>
            <w:tcW w:w="988" w:type="dxa"/>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3</w:t>
            </w:r>
          </w:p>
        </w:tc>
        <w:tc>
          <w:tcPr>
            <w:tcW w:w="6378"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张家港市第一人民医院妇科临床试验机构能力提升</w:t>
            </w:r>
          </w:p>
        </w:tc>
        <w:tc>
          <w:tcPr>
            <w:tcW w:w="425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张家港市第一人民医院</w:t>
            </w:r>
          </w:p>
        </w:tc>
        <w:tc>
          <w:tcPr>
            <w:tcW w:w="241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454" w:hRule="exact"/>
        </w:trPr>
        <w:tc>
          <w:tcPr>
            <w:tcW w:w="988" w:type="dxa"/>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4</w:t>
            </w:r>
          </w:p>
        </w:tc>
        <w:tc>
          <w:tcPr>
            <w:tcW w:w="6378"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张家港市第一人民医院内分泌专业临床试验机构能力提升</w:t>
            </w:r>
          </w:p>
        </w:tc>
        <w:tc>
          <w:tcPr>
            <w:tcW w:w="425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张家港市第一人民医院</w:t>
            </w:r>
          </w:p>
        </w:tc>
        <w:tc>
          <w:tcPr>
            <w:tcW w:w="241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454" w:hRule="exact"/>
        </w:trPr>
        <w:tc>
          <w:tcPr>
            <w:tcW w:w="988" w:type="dxa"/>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5</w:t>
            </w:r>
          </w:p>
        </w:tc>
        <w:tc>
          <w:tcPr>
            <w:tcW w:w="6378"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张家港市第一人民医院心血管内科临床试验机构能力提升</w:t>
            </w:r>
          </w:p>
        </w:tc>
        <w:tc>
          <w:tcPr>
            <w:tcW w:w="425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张家港市第一人民医院</w:t>
            </w:r>
          </w:p>
        </w:tc>
        <w:tc>
          <w:tcPr>
            <w:tcW w:w="241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454" w:hRule="exact"/>
        </w:trPr>
        <w:tc>
          <w:tcPr>
            <w:tcW w:w="988" w:type="dxa"/>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6</w:t>
            </w:r>
          </w:p>
        </w:tc>
        <w:tc>
          <w:tcPr>
            <w:tcW w:w="6378"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张家港市第一人民医院肿瘤科临床试验机构能力提升</w:t>
            </w:r>
          </w:p>
        </w:tc>
        <w:tc>
          <w:tcPr>
            <w:tcW w:w="425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张家港市第一人民医院</w:t>
            </w:r>
          </w:p>
        </w:tc>
        <w:tc>
          <w:tcPr>
            <w:tcW w:w="241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454" w:hRule="exact"/>
        </w:trPr>
        <w:tc>
          <w:tcPr>
            <w:tcW w:w="988" w:type="dxa"/>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7</w:t>
            </w:r>
          </w:p>
        </w:tc>
        <w:tc>
          <w:tcPr>
            <w:tcW w:w="6378"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张家港市中医医院医院呼吸科专业组临床试验机构能力提升</w:t>
            </w:r>
          </w:p>
        </w:tc>
        <w:tc>
          <w:tcPr>
            <w:tcW w:w="425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张家港市中医医院</w:t>
            </w:r>
          </w:p>
        </w:tc>
        <w:tc>
          <w:tcPr>
            <w:tcW w:w="241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454" w:hRule="exact"/>
        </w:trPr>
        <w:tc>
          <w:tcPr>
            <w:tcW w:w="988" w:type="dxa"/>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8</w:t>
            </w:r>
          </w:p>
        </w:tc>
        <w:tc>
          <w:tcPr>
            <w:tcW w:w="6378"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 xml:space="preserve">张家港市中医医院肿瘤学专业组临床试验机构能力提升     </w:t>
            </w:r>
          </w:p>
        </w:tc>
        <w:tc>
          <w:tcPr>
            <w:tcW w:w="425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张家港市中医医院</w:t>
            </w:r>
          </w:p>
        </w:tc>
        <w:tc>
          <w:tcPr>
            <w:tcW w:w="241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454" w:hRule="exact"/>
        </w:trPr>
        <w:tc>
          <w:tcPr>
            <w:tcW w:w="988" w:type="dxa"/>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9</w:t>
            </w:r>
          </w:p>
        </w:tc>
        <w:tc>
          <w:tcPr>
            <w:tcW w:w="6378"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张家港市中医医院中医耳鼻咽喉科专业组临床试验机构能力提升</w:t>
            </w:r>
          </w:p>
        </w:tc>
        <w:tc>
          <w:tcPr>
            <w:tcW w:w="425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张家港市中医医院</w:t>
            </w:r>
          </w:p>
        </w:tc>
        <w:tc>
          <w:tcPr>
            <w:tcW w:w="241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454" w:hRule="exact"/>
        </w:trPr>
        <w:tc>
          <w:tcPr>
            <w:tcW w:w="988" w:type="dxa"/>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10</w:t>
            </w:r>
          </w:p>
        </w:tc>
        <w:tc>
          <w:tcPr>
            <w:tcW w:w="6378"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张家港市中医医院心血管内科专业组临床试验机构能力提升</w:t>
            </w:r>
          </w:p>
        </w:tc>
        <w:tc>
          <w:tcPr>
            <w:tcW w:w="425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张家港市中医医院</w:t>
            </w:r>
          </w:p>
        </w:tc>
        <w:tc>
          <w:tcPr>
            <w:tcW w:w="241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454" w:hRule="exact"/>
        </w:trPr>
        <w:tc>
          <w:tcPr>
            <w:tcW w:w="988" w:type="dxa"/>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11</w:t>
            </w:r>
          </w:p>
        </w:tc>
        <w:tc>
          <w:tcPr>
            <w:tcW w:w="6378" w:type="dxa"/>
            <w:tcBorders>
              <w:top w:val="nil"/>
              <w:left w:val="single" w:color="000000" w:sz="4" w:space="0"/>
              <w:bottom w:val="single" w:color="auto"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张家港市中医医院免疫学专业组临床试验机构能力提升</w:t>
            </w:r>
          </w:p>
        </w:tc>
        <w:tc>
          <w:tcPr>
            <w:tcW w:w="4258"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张家港市中医医院</w:t>
            </w:r>
          </w:p>
        </w:tc>
        <w:tc>
          <w:tcPr>
            <w:tcW w:w="2410" w:type="dxa"/>
            <w:tcBorders>
              <w:top w:val="nil"/>
              <w:left w:val="nil"/>
              <w:bottom w:val="single" w:color="auto"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454" w:hRule="exac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12</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张家港市中医医院中医妇产科专业组临床试验机构能力提升</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张家港市中医医院</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454" w:hRule="exact"/>
        </w:trPr>
        <w:tc>
          <w:tcPr>
            <w:tcW w:w="988"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13</w:t>
            </w:r>
          </w:p>
        </w:tc>
        <w:tc>
          <w:tcPr>
            <w:tcW w:w="6378"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张家港市中医医院骨伤科专业组临床试验机构能力提升</w:t>
            </w:r>
          </w:p>
        </w:tc>
        <w:tc>
          <w:tcPr>
            <w:tcW w:w="4258"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张家港市中医医院</w:t>
            </w:r>
          </w:p>
        </w:tc>
        <w:tc>
          <w:tcPr>
            <w:tcW w:w="2410" w:type="dxa"/>
            <w:tcBorders>
              <w:top w:val="single" w:color="auto"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454" w:hRule="exact"/>
        </w:trPr>
        <w:tc>
          <w:tcPr>
            <w:tcW w:w="988" w:type="dxa"/>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14</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昆山市中医医院骨伤科临床试验机构能力提升</w:t>
            </w:r>
          </w:p>
        </w:tc>
        <w:tc>
          <w:tcPr>
            <w:tcW w:w="425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昆山市中医医院</w:t>
            </w:r>
          </w:p>
        </w:tc>
        <w:tc>
          <w:tcPr>
            <w:tcW w:w="241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454" w:hRule="exact"/>
        </w:trPr>
        <w:tc>
          <w:tcPr>
            <w:tcW w:w="988" w:type="dxa"/>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15</w:t>
            </w:r>
          </w:p>
        </w:tc>
        <w:tc>
          <w:tcPr>
            <w:tcW w:w="6378"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昆山市中医医院中医呼吸内科临床试验机构能力提升</w:t>
            </w:r>
          </w:p>
        </w:tc>
        <w:tc>
          <w:tcPr>
            <w:tcW w:w="425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昆山市中医医院</w:t>
            </w:r>
          </w:p>
        </w:tc>
        <w:tc>
          <w:tcPr>
            <w:tcW w:w="241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454" w:hRule="exac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16</w:t>
            </w:r>
          </w:p>
        </w:tc>
        <w:tc>
          <w:tcPr>
            <w:tcW w:w="6378"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昆山市中医医院检验科临床试验机构能力提升</w:t>
            </w:r>
          </w:p>
        </w:tc>
        <w:tc>
          <w:tcPr>
            <w:tcW w:w="425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昆山市中医医院</w:t>
            </w:r>
          </w:p>
        </w:tc>
        <w:tc>
          <w:tcPr>
            <w:tcW w:w="241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454" w:hRule="exac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17</w:t>
            </w:r>
          </w:p>
        </w:tc>
        <w:tc>
          <w:tcPr>
            <w:tcW w:w="6378"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昆山市中医医院脾胃肝胆科临床试验机构能力提升</w:t>
            </w:r>
          </w:p>
        </w:tc>
        <w:tc>
          <w:tcPr>
            <w:tcW w:w="425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昆山市中医医院</w:t>
            </w:r>
          </w:p>
        </w:tc>
        <w:tc>
          <w:tcPr>
            <w:tcW w:w="241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454" w:hRule="exac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18</w:t>
            </w:r>
          </w:p>
        </w:tc>
        <w:tc>
          <w:tcPr>
            <w:tcW w:w="6378" w:type="dxa"/>
            <w:tcBorders>
              <w:top w:val="nil"/>
              <w:left w:val="single" w:color="000000" w:sz="4" w:space="0"/>
              <w:bottom w:val="single" w:color="000000" w:sz="4" w:space="0"/>
              <w:right w:val="single" w:color="000000"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昆山市中医医院肿瘤科临床试验机构能力提升</w:t>
            </w:r>
          </w:p>
        </w:tc>
        <w:tc>
          <w:tcPr>
            <w:tcW w:w="425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昆山市中医医院</w:t>
            </w:r>
          </w:p>
        </w:tc>
        <w:tc>
          <w:tcPr>
            <w:tcW w:w="2410"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454" w:hRule="exac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19</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苏州科技城医院肾内科临床试验机构能力提升</w:t>
            </w:r>
          </w:p>
        </w:tc>
        <w:tc>
          <w:tcPr>
            <w:tcW w:w="425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苏州科技城医院</w:t>
            </w:r>
          </w:p>
        </w:tc>
        <w:tc>
          <w:tcPr>
            <w:tcW w:w="241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774" w:hRule="exac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20</w:t>
            </w:r>
          </w:p>
        </w:tc>
        <w:tc>
          <w:tcPr>
            <w:tcW w:w="6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苏州市立医院</w:t>
            </w:r>
            <w:r>
              <w:rPr>
                <w:rFonts w:hint="eastAsia" w:ascii="宋体" w:hAnsi="宋体" w:eastAsia="宋体" w:cs="宋体"/>
                <w:sz w:val="20"/>
                <w:szCs w:val="20"/>
              </w:rPr>
              <w:t>Ⅰ</w:t>
            </w:r>
            <w:r>
              <w:rPr>
                <w:rFonts w:ascii="Courier New" w:hAnsi="Courier New" w:cs="Courier New"/>
                <w:sz w:val="20"/>
                <w:szCs w:val="20"/>
              </w:rPr>
              <w:t>期临床试验研究室临床试验机构能力提升</w:t>
            </w:r>
          </w:p>
        </w:tc>
        <w:tc>
          <w:tcPr>
            <w:tcW w:w="425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苏州市立医院</w:t>
            </w:r>
          </w:p>
        </w:tc>
        <w:tc>
          <w:tcPr>
            <w:tcW w:w="241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bl>
    <w:p>
      <w:pPr>
        <w:ind w:firstLine="560" w:firstLineChars="200"/>
        <w:rPr>
          <w:rFonts w:ascii="仿宋_GB2312" w:eastAsia="仿宋_GB2312"/>
          <w:sz w:val="28"/>
          <w:szCs w:val="28"/>
        </w:rPr>
      </w:pPr>
    </w:p>
    <w:p>
      <w:pPr>
        <w:tabs>
          <w:tab w:val="left" w:pos="11904"/>
        </w:tabs>
      </w:pPr>
      <w:r>
        <w:tab/>
      </w:r>
      <w:r>
        <w:tab/>
      </w:r>
    </w:p>
    <w:tbl>
      <w:tblPr>
        <w:tblStyle w:val="3"/>
        <w:tblpPr w:leftFromText="180" w:rightFromText="180" w:vertAnchor="text" w:horzAnchor="margin" w:tblpX="-426" w:tblpY="-971"/>
        <w:tblW w:w="14596" w:type="dxa"/>
        <w:tblInd w:w="0" w:type="dxa"/>
        <w:tblLayout w:type="autofit"/>
        <w:tblCellMar>
          <w:top w:w="0" w:type="dxa"/>
          <w:left w:w="108" w:type="dxa"/>
          <w:bottom w:w="0" w:type="dxa"/>
          <w:right w:w="108" w:type="dxa"/>
        </w:tblCellMar>
      </w:tblPr>
      <w:tblGrid>
        <w:gridCol w:w="993"/>
        <w:gridCol w:w="8505"/>
        <w:gridCol w:w="2551"/>
        <w:gridCol w:w="2547"/>
      </w:tblGrid>
      <w:tr>
        <w:tblPrEx>
          <w:tblCellMar>
            <w:top w:w="0" w:type="dxa"/>
            <w:left w:w="108" w:type="dxa"/>
            <w:bottom w:w="0" w:type="dxa"/>
            <w:right w:w="108" w:type="dxa"/>
          </w:tblCellMar>
        </w:tblPrEx>
        <w:trPr>
          <w:cantSplit/>
          <w:tblHeader/>
        </w:trPr>
        <w:tc>
          <w:tcPr>
            <w:tcW w:w="14596" w:type="dxa"/>
            <w:gridSpan w:val="4"/>
            <w:tcBorders>
              <w:bottom w:val="single" w:color="auto" w:sz="4" w:space="0"/>
            </w:tcBorders>
            <w:shd w:val="clear" w:color="auto" w:fill="auto"/>
            <w:noWrap/>
            <w:vAlign w:val="center"/>
          </w:tcPr>
          <w:p>
            <w:pPr>
              <w:widowControl/>
              <w:ind w:firstLine="562" w:firstLineChars="200"/>
              <w:jc w:val="left"/>
              <w:rPr>
                <w:rFonts w:ascii="Courier New" w:hAnsi="Courier New" w:eastAsia="宋体" w:cs="Courier New"/>
                <w:b/>
                <w:bCs/>
                <w:kern w:val="0"/>
                <w:sz w:val="28"/>
                <w:szCs w:val="28"/>
              </w:rPr>
            </w:pPr>
            <w:r>
              <w:rPr>
                <w:rFonts w:hint="eastAsia" w:ascii="Courier New" w:hAnsi="Courier New" w:eastAsia="宋体" w:cs="Courier New"/>
                <w:b/>
                <w:bCs/>
                <w:kern w:val="0"/>
                <w:sz w:val="28"/>
                <w:szCs w:val="28"/>
              </w:rPr>
              <w:t>二</w:t>
            </w:r>
            <w:r>
              <w:rPr>
                <w:rFonts w:ascii="Courier New" w:hAnsi="Courier New" w:eastAsia="宋体" w:cs="Courier New"/>
                <w:b/>
                <w:bCs/>
                <w:kern w:val="0"/>
                <w:sz w:val="28"/>
                <w:szCs w:val="28"/>
              </w:rPr>
              <w:t>、</w:t>
            </w:r>
            <w:r>
              <w:rPr>
                <w:rFonts w:hint="eastAsia" w:ascii="Courier New" w:hAnsi="Courier New" w:eastAsia="宋体" w:cs="Courier New"/>
                <w:b/>
                <w:bCs/>
                <w:kern w:val="0"/>
                <w:sz w:val="28"/>
                <w:szCs w:val="28"/>
              </w:rPr>
              <w:t>医工结合</w:t>
            </w:r>
            <w:r>
              <w:rPr>
                <w:rFonts w:ascii="Courier New" w:hAnsi="Courier New" w:eastAsia="宋体" w:cs="Courier New"/>
                <w:b/>
                <w:bCs/>
                <w:kern w:val="0"/>
                <w:sz w:val="28"/>
                <w:szCs w:val="28"/>
              </w:rPr>
              <w:t>协同创新研究项目</w:t>
            </w:r>
          </w:p>
        </w:tc>
      </w:tr>
      <w:tr>
        <w:tblPrEx>
          <w:tblCellMar>
            <w:top w:w="0" w:type="dxa"/>
            <w:left w:w="108" w:type="dxa"/>
            <w:bottom w:w="0" w:type="dxa"/>
            <w:right w:w="108" w:type="dxa"/>
          </w:tblCellMar>
        </w:tblPrEx>
        <w:trPr>
          <w:cantSplit/>
          <w:tblHeader/>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b/>
                <w:bCs/>
                <w:kern w:val="0"/>
                <w:sz w:val="28"/>
                <w:szCs w:val="28"/>
              </w:rPr>
            </w:pPr>
            <w:r>
              <w:rPr>
                <w:rFonts w:ascii="Courier New" w:hAnsi="Courier New" w:eastAsia="宋体" w:cs="Courier New"/>
                <w:b/>
                <w:bCs/>
                <w:kern w:val="0"/>
                <w:sz w:val="28"/>
                <w:szCs w:val="28"/>
              </w:rPr>
              <w:t>序号</w:t>
            </w:r>
          </w:p>
        </w:tc>
        <w:tc>
          <w:tcPr>
            <w:tcW w:w="85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b/>
                <w:bCs/>
                <w:kern w:val="0"/>
                <w:sz w:val="28"/>
                <w:szCs w:val="28"/>
              </w:rPr>
            </w:pPr>
            <w:r>
              <w:rPr>
                <w:rFonts w:ascii="Courier New" w:hAnsi="Courier New" w:eastAsia="宋体" w:cs="Courier New"/>
                <w:b/>
                <w:bCs/>
                <w:kern w:val="0"/>
                <w:sz w:val="28"/>
                <w:szCs w:val="28"/>
              </w:rPr>
              <w:t>项目名称</w:t>
            </w:r>
          </w:p>
        </w:tc>
        <w:tc>
          <w:tcPr>
            <w:tcW w:w="2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b/>
                <w:bCs/>
                <w:kern w:val="0"/>
                <w:sz w:val="28"/>
                <w:szCs w:val="28"/>
              </w:rPr>
            </w:pPr>
            <w:r>
              <w:rPr>
                <w:rFonts w:hint="eastAsia" w:ascii="Courier New" w:hAnsi="Courier New" w:eastAsia="宋体" w:cs="Courier New"/>
                <w:b/>
                <w:bCs/>
                <w:kern w:val="0"/>
                <w:sz w:val="28"/>
                <w:szCs w:val="28"/>
              </w:rPr>
              <w:t>申报</w:t>
            </w:r>
            <w:r>
              <w:rPr>
                <w:rFonts w:ascii="Courier New" w:hAnsi="Courier New" w:eastAsia="宋体" w:cs="Courier New"/>
                <w:b/>
                <w:bCs/>
                <w:kern w:val="0"/>
                <w:sz w:val="28"/>
                <w:szCs w:val="28"/>
              </w:rPr>
              <w:t>单位</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b/>
                <w:bCs/>
                <w:kern w:val="0"/>
                <w:sz w:val="28"/>
                <w:szCs w:val="28"/>
              </w:rPr>
            </w:pPr>
            <w:r>
              <w:rPr>
                <w:rFonts w:hint="eastAsia" w:ascii="Courier New" w:hAnsi="Courier New" w:eastAsia="宋体" w:cs="Courier New"/>
                <w:b/>
                <w:bCs/>
                <w:kern w:val="0"/>
                <w:sz w:val="28"/>
                <w:szCs w:val="28"/>
              </w:rPr>
              <w:t>主管部门</w:t>
            </w:r>
          </w:p>
        </w:tc>
      </w:tr>
      <w:tr>
        <w:tblPrEx>
          <w:tblCellMar>
            <w:top w:w="0" w:type="dxa"/>
            <w:left w:w="108" w:type="dxa"/>
            <w:bottom w:w="0" w:type="dxa"/>
            <w:right w:w="108" w:type="dxa"/>
          </w:tblCellMar>
        </w:tblPrEx>
        <w:trPr>
          <w:cantSplit/>
          <w:trHeight w:val="591"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胎盘生长因子/可溶性fms样酪氨酸激酶-1检测试剂盒（时间分辨荧光免疫层析法）临床试验</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张家港市第一人民医院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57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2</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新型股骨颈系统3D打印导航模板系统开发及在股骨颈骨折保髋手术中的临床研究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张家港市第一人民医院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565"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3</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 xml:space="preserve">可溶性生长刺激表达因子2检测试剂盒（磁微粒吖啶酯直接化学发光法）临床研究   </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张家港市中医医院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4</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新型关节突钉板系统临床研究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张家港市中医医院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张家港市科学技术局</w:t>
            </w:r>
          </w:p>
        </w:tc>
      </w:tr>
      <w:tr>
        <w:tblPrEx>
          <w:tblCellMar>
            <w:top w:w="0" w:type="dxa"/>
            <w:left w:w="108" w:type="dxa"/>
            <w:bottom w:w="0" w:type="dxa"/>
            <w:right w:w="108" w:type="dxa"/>
          </w:tblCellMar>
        </w:tblPrEx>
        <w:trPr>
          <w:cantSplit/>
          <w:trHeight w:val="53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5</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新型可旋转乳头括约肌切开刀在逆行性胰胆管造影取石术中的临床研究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常熟市第一人民医院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常熟市科学技术局</w:t>
            </w:r>
          </w:p>
        </w:tc>
      </w:tr>
      <w:tr>
        <w:tblPrEx>
          <w:tblCellMar>
            <w:top w:w="0" w:type="dxa"/>
            <w:left w:w="108" w:type="dxa"/>
            <w:bottom w:w="0" w:type="dxa"/>
            <w:right w:w="108" w:type="dxa"/>
          </w:tblCellMar>
        </w:tblPrEx>
        <w:trPr>
          <w:cantSplit/>
          <w:trHeight w:val="843"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6</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LunaDx Nano 全自动恒温核酸扩增分析检测系统开发及其在呼吸道三项（乙型流感、呼吸道合胞病毒、肺炎支原体）诊断中的性能评价研究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常熟市第二人民医院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常熟市科学技术局</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7</w:t>
            </w:r>
          </w:p>
        </w:tc>
        <w:tc>
          <w:tcPr>
            <w:tcW w:w="850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olor w:val="000000" w:themeColor="text1"/>
                <w:sz w:val="24"/>
                <w:szCs w:val="24"/>
                <w14:textFill>
                  <w14:solidFill>
                    <w14:schemeClr w14:val="tx1"/>
                  </w14:solidFill>
                </w14:textFill>
              </w:rPr>
            </w:pPr>
            <w:r>
              <w:rPr>
                <w:rFonts w:hint="eastAsia" w:ascii="Courier New" w:hAnsi="Courier New" w:cs="Courier New"/>
                <w:sz w:val="20"/>
                <w:szCs w:val="20"/>
              </w:rPr>
              <w:t>国内自主研发数字PCR和临床生物标志物试剂盒的临床研究</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Courier New" w:hAnsi="Courier New" w:cs="Courier New"/>
                <w:sz w:val="20"/>
                <w:szCs w:val="20"/>
              </w:rPr>
              <w:t>太仓市第一人民医院</w:t>
            </w:r>
          </w:p>
        </w:tc>
        <w:tc>
          <w:tcPr>
            <w:tcW w:w="25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themeColor="text1"/>
                <w:sz w:val="24"/>
                <w:szCs w:val="24"/>
                <w14:textFill>
                  <w14:solidFill>
                    <w14:schemeClr w14:val="tx1"/>
                  </w14:solidFill>
                </w14:textFill>
              </w:rPr>
            </w:pPr>
            <w:r>
              <w:rPr>
                <w:rFonts w:hint="eastAsia" w:ascii="Courier New" w:hAnsi="Courier New" w:cs="Courier New"/>
                <w:sz w:val="20"/>
                <w:szCs w:val="20"/>
              </w:rPr>
              <w:t>太仓</w:t>
            </w:r>
            <w:r>
              <w:rPr>
                <w:rFonts w:ascii="Courier New" w:hAnsi="Courier New" w:cs="Courier New"/>
                <w:sz w:val="20"/>
                <w:szCs w:val="20"/>
              </w:rPr>
              <w:t>市科学技术局</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8</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研发新型多通道多维度导向器经皮微创治疗股骨颈骨折的临床前研究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昆山市中医医院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9</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新型扩鼻系统在经鼻胃镜前处置的临床前研究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昆山市中医医院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669"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10</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基于“全链式智慧化”骨折联络服务的可穿戴智能医疗设备的开发及其临床应用研究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昆山市第一人民医院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11</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IBI354在晚期实体性肿瘤治疗的临床前研究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昆山市第一人民医院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昆山市科学技术局</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12</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 xml:space="preserve">非基因编辑通用型CAR-T平台技术的升级与临床前研究 </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苏州市第九人民医院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吴江区科学技术局</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13</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基于CT的腹部脂肪自动定量分析AI软件开发及其在肥胖相关疾病的临床应用研究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苏州九龙医院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14</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3D打印颅颌面手术规划与个性化骨修复系统的开发与临床前研究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苏州九龙医院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工业园区科技创新委员会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15</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便携式血栓弹力图仪在围术期应用的研制及临床研究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苏州科技城医院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ascii="宋体" w:hAnsi="宋体" w:eastAsia="宋体" w:cs="Courier New"/>
                <w:kern w:val="0"/>
                <w:sz w:val="20"/>
                <w:szCs w:val="20"/>
              </w:rPr>
              <w:t>16</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鼠李糖乳杆菌荧光定量PCR诊断试剂盒的临床及临床前研究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苏州科技城医院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高新区科技创新局</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17</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Courier New"/>
                <w:sz w:val="20"/>
                <w:szCs w:val="20"/>
              </w:rPr>
            </w:pPr>
            <w:r>
              <w:rPr>
                <w:rFonts w:ascii="Courier New" w:hAnsi="Courier New" w:cs="Courier New"/>
                <w:sz w:val="20"/>
                <w:szCs w:val="20"/>
              </w:rPr>
              <w:t>呼吸道病原检测技术及全自动过敏原检测系统在儿童慢性咳嗽中的临床研究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苏州大学附属儿童医院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18</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磁共振兼容的转运暖箱及射频线圈（射频信号探测器）一体化临床研究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苏州大学附属儿童医院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19</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个性化多功能骨肉瘤术后修复骨支架的研发及临床应用研究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苏州大学附属儿童医院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20</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超多重实时荧光定量PCR临床检测技术研发</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苏州大学附属第二医院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21</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“骨骼强化负重系统”在促进骨骼健康及防治骨质疏松症中“国人数据标准建立”临床研究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苏州大学附属第二医院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22</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基于QCT的骨微结构定量评估构建髋部脆性骨折风险预测模型的临床前研究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苏州大学附属第二医院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23</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冲击波球囊系统在瓣膜钙化和血管钙化中的应用临床前研究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苏州大学附属第二医院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24</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新型柔性电子宫腔镜的研制与临床前研究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苏州大学附属第二医院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25</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国产荧光导航超高清腹腔镜系统的临床应用研究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苏州大学附属第二医院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26</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自适应固化水凝胶经肝动脉栓塞治疗兔原位肝肿瘤模型的临床前研究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苏州大学附属第二医院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27</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基于生物力学分析的便携式足踝模拟负重装置的研究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苏州大学附属第二医院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28</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基于医学影像大数据深度学习的个性化精准术前规划系统研发及临床应用</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苏州大学附属第二医院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29</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可穿戴表面肌电设备系统研发及老年髋部骨折术后康复的临床前研究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苏州大学附属第二医院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600"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30</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评估Claudin18.2单克隆抗体TST001治疗局部晚期不可切除或转移性实体瘤的安全性、耐受性、药代动力学和初步疗效的I期临床研究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苏州大学附属第二医院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31</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手术机器人系统中可调视角内窥镜的研发和临床研究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苏州大学附属第一医院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32</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新型CD8+ T细胞特异性纳米抗体分子探针68Ga-NODAGA-SNA006临床研究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苏州大学附属第一医院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33</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CLDN18.2抗体药物偶联物（IBI343）新药开发及临床研究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苏州大学附属第一医院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34</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具有广谱抗肿瘤作用的全球首创三功能分子（IBI395）药物开发及晚期肺癌的临床研究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苏州大学附属第一医院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35</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外泌体标志物检测试剂盒在乳腺癌新辅助化疗疗效评估应用中的临床研究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苏州大学附属第一医院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36</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法兰克曼电动腔镜吻合器运用于全腹腔镜下胃癌根治术的临床研究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苏州大学附属第一医院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37</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抗TIGIT全人源单克隆抗体联合PD-1单抗在食管癌新辅助治疗中的临床研究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苏州大学附属第一医院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38</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 xml:space="preserve">GLP-1R/GCGR双激动剂IBI362改善非酒 精性脂肪肝的临床前研究 </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苏州大学附属第一医院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39</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基于外周血游离肿瘤DNA甲基化检测进行肝癌早期筛查及辅助诊断的单中心临床研究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苏州大学附属第一医院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40</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 xml:space="preserve">一种人工智能多模态创伤监测可穿戴设备的临床前研究 </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苏州大学附属第一医院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41</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一种新型特殊成像模式的开发及临床研究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苏州大学附属第一医院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42</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 xml:space="preserve">3D打印纳米纤维基支架负载缓释型BMP-2用于骨组织再生的临床研究 </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苏州大学附属第一医院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43</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血管腔内可调破膜系统临床研究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苏州大学附属第一医院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44</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新型国产可解脱弹簧圈应用于出血性疾病介入治疗的临床研究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苏州大学附属第一医院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800"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45</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在健康受试者中进行RP901食物影响和多次给药的安全性、耐受性和药代动力学及同位素标记后绝对生物利用度与物质平衡临床研究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苏州大学附属第一医院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69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46</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一项评价68Ga-NODAGA-SNA006 在宫颈癌患者中安全耐受性、辐射吸收剂量、分布、PET显像与组织学表达相关性的临床研究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苏州大学附属第一医院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47</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CLDN18.2/PD-L1双特异抗体用于结直肠癌治疗的临床研究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苏州大学附属第一医院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48</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CDK4/6抑制剂SHR6390联合内分泌治疗在HR+/HER2-乳腺癌辅助治疗中的临床研究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苏州大学附属第一医院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722"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49</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肿瘤相关巨噬细胞特征分析在评估CD47与PD-L1双特异性抗体治疗晚期肺癌受试者初步有效性的Ia/Ib期临床研究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苏州大学附属第一医院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705"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50</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芩苓子阴道灌注液治疗宫颈高危型人乳头瘤病毒16/18（HR-HPV16/18）感染合并低级别鳞状上皮内病变临床研究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苏州市中医医院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51</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国产新型溶栓导管在深静脉血栓治疗中的临床应用研究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苏州市中医医院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52</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CVS雾化吸入布地奈德联合异丙托溴铵治疗AECOPD的临床研究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苏州市中医医院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53</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胫骨高位截骨术中植骨垫片的开发与临床前研究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苏州市立医院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54</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基于深度学习的全自动计算机辅助精子质量分析系统研发</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苏州市立医院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55</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皮下植入式心血管事件预警装置的临床前研究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苏州市立医院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56</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温控密闭式内镜床侧预处理架的临床前研究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苏州市立医院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57</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波生坦新剂型的研发与临床前研究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苏州市立医院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787"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58</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自粘型丝素蛋白修复支架用于面部激光治疗后皮肤修复的前瞻性、单中心、随机对照的有效性和安全性研究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苏州市立医院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59</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重组人绒促性素生物类似药在促排卵治疗中的临床前研究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苏州市立医院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60</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新型人源化生物型人工肝治疗肝衰竭的临床研究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苏州市第五人民医院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61</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隐球菌荚膜多糖抗原定量检测对隐球菌病的诊断价值评估</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苏州市第五人民医院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r>
        <w:tblPrEx>
          <w:tblCellMar>
            <w:top w:w="0" w:type="dxa"/>
            <w:left w:w="108" w:type="dxa"/>
            <w:bottom w:w="0" w:type="dxa"/>
            <w:right w:w="108" w:type="dxa"/>
          </w:tblCellMar>
        </w:tblPrEx>
        <w:trPr>
          <w:cantSplit/>
          <w:trHeight w:val="454" w:hRule="exac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0"/>
                <w:szCs w:val="20"/>
              </w:rPr>
            </w:pPr>
            <w:r>
              <w:rPr>
                <w:rFonts w:hint="eastAsia" w:ascii="宋体" w:hAnsi="宋体" w:eastAsia="宋体" w:cs="Courier New"/>
                <w:kern w:val="0"/>
                <w:sz w:val="20"/>
                <w:szCs w:val="20"/>
              </w:rPr>
              <w:t>62</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1类化学新药HY1702对急性肺损伤的治疗临床前研究</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苏州市第五人民医院</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苏州市卫生健康委员会</w:t>
            </w:r>
          </w:p>
        </w:tc>
      </w:tr>
    </w:tbl>
    <w:p>
      <w:pPr>
        <w:widowControl/>
        <w:jc w:val="left"/>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ZWE3N2FkM2I4ZTkxMDQ4ODg0MjhkNmQ5YzkxMmYifQ=="/>
  </w:docVars>
  <w:rsids>
    <w:rsidRoot w:val="0F251C45"/>
    <w:rsid w:val="0F251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2022-05-18T05:30:00Z</dcterms:created>
  <dc:creator>NTKO</dc:creator>
  <cp:lastModifiedBy>NTKO</cp:lastModifiedBy>
  <dcterms:modified xsi:type="dcterms:W3CDTF">2022-05-18T05:31:30Z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A1F718C539F24585AEE8FA00BB571A51</vt:lpwstr>
  </property>
</Properties>
</file>