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240" w:lineRule="atLeast"/>
        <w:jc w:val="left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附件1：</w:t>
      </w:r>
    </w:p>
    <w:p>
      <w:pPr>
        <w:adjustRightInd w:val="0"/>
        <w:snapToGrid w:val="0"/>
        <w:spacing w:line="240" w:lineRule="atLeast"/>
        <w:jc w:val="center"/>
        <w:rPr>
          <w:rFonts w:ascii="方正小标宋_GBK" w:hAnsi="宋体" w:eastAsia="方正小标宋_GBK"/>
          <w:color w:val="auto"/>
          <w:sz w:val="36"/>
          <w:szCs w:val="36"/>
          <w:highlight w:val="none"/>
        </w:rPr>
      </w:pPr>
      <w:r>
        <w:rPr>
          <w:rFonts w:ascii="方正小标宋_GBK" w:hAnsi="宋体" w:eastAsia="方正小标宋_GBK"/>
          <w:color w:val="auto"/>
          <w:sz w:val="36"/>
          <w:szCs w:val="36"/>
          <w:highlight w:val="none"/>
        </w:rPr>
        <w:t>20</w:t>
      </w:r>
      <w:r>
        <w:rPr>
          <w:rFonts w:hint="eastAsia" w:ascii="方正小标宋_GBK" w:hAnsi="宋体" w:eastAsia="方正小标宋_GBK"/>
          <w:color w:val="auto"/>
          <w:sz w:val="36"/>
          <w:szCs w:val="36"/>
          <w:highlight w:val="none"/>
        </w:rPr>
        <w:t>22</w:t>
      </w:r>
      <w:r>
        <w:rPr>
          <w:rFonts w:ascii="方正小标宋_GBK" w:hAnsi="宋体" w:eastAsia="方正小标宋_GBK"/>
          <w:color w:val="auto"/>
          <w:sz w:val="36"/>
          <w:szCs w:val="36"/>
          <w:highlight w:val="none"/>
        </w:rPr>
        <w:t>年苏州市</w:t>
      </w:r>
      <w:r>
        <w:rPr>
          <w:rFonts w:hint="eastAsia" w:ascii="方正小标宋_GBK" w:hAnsi="宋体" w:eastAsia="方正小标宋_GBK"/>
          <w:color w:val="auto"/>
          <w:sz w:val="36"/>
          <w:szCs w:val="36"/>
          <w:highlight w:val="none"/>
        </w:rPr>
        <w:t>产业前瞻与关键核心技术</w:t>
      </w:r>
      <w:r>
        <w:rPr>
          <w:rFonts w:ascii="方正小标宋_GBK" w:hAnsi="宋体" w:eastAsia="方正小标宋_GBK"/>
          <w:color w:val="auto"/>
          <w:sz w:val="36"/>
          <w:szCs w:val="36"/>
          <w:highlight w:val="none"/>
        </w:rPr>
        <w:t>项目指南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_GBK" w:hAnsi="宋体" w:eastAsia="方正小标宋_GBK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_GBK" w:hAnsi="宋体" w:eastAsia="方正小标宋_GBK"/>
          <w:color w:val="auto"/>
          <w:sz w:val="36"/>
          <w:szCs w:val="36"/>
          <w:highlight w:val="none"/>
          <w:lang w:val="en-US" w:eastAsia="zh-CN"/>
        </w:rPr>
        <w:t>征求意见稿</w:t>
      </w:r>
      <w:r>
        <w:rPr>
          <w:rFonts w:hint="eastAsia" w:ascii="方正小标宋_GBK" w:hAnsi="宋体" w:eastAsia="方正小标宋_GBK"/>
          <w:color w:val="auto"/>
          <w:sz w:val="36"/>
          <w:szCs w:val="36"/>
          <w:highlight w:val="none"/>
          <w:lang w:eastAsia="zh-CN"/>
        </w:rPr>
        <w:t>）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一、产业前瞻技术研发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楷体_GB2312" w:hAnsi="Times New Roman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  <w:highlight w:val="none"/>
        </w:rPr>
        <w:t>（一）数字创新专项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739" w:firstLineChars="230"/>
        <w:rPr>
          <w:rFonts w:hint="default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电子信息与材料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 基于RISC-V等开源架构CPU及第三方IP研发集成、高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算力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芯片和新型存储器芯片、极低功耗SoC芯片、光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芯片、通信射频芯片、高性能显示芯片、高性能模拟芯片等高端芯片设计技术和智能化电子设计自动化（EDA）的平台设计技术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大尺寸低缺陷高纯度单晶硅片、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电子级多晶硅、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高功率密度封装及散热材料、高纯度化学试剂、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高精度掩膜版、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高端光刻胶、抛光液、溅射靶材等关键材料制备技术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氮化镓、碳化硅、氮化铝、金刚石、氧化镓等第三代半导体材料、器件与关键装备制造技术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2.量子科技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210201 </w:t>
      </w:r>
      <w:r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  <w:t>量子密钥分发、量子中继、量子网关、量子存储、量子隐形传态等量子保密通信核心技术及关键设备研发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210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02 </w:t>
      </w:r>
      <w:r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  <w:t>量子比特大规模集成、超导量子计算、量子芯片、极低温微波链路等实用量子计算机关键技术及设备研发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210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  <w:t xml:space="preserve"> 量子系统人工精准调控、状态监测、量子传感等量子精密测量核心技术及关键设备研发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210204</w:t>
      </w:r>
      <w:r>
        <w:rPr>
          <w:rFonts w:hint="eastAsia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  <w:t xml:space="preserve"> 量子光源、单光子探测器、超低损耗光纤、量子信道共纤复用等量子信息传输关键技术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黑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黑体" w:eastAsia="仿宋_GB2312"/>
          <w:b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智能网联与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  <w:t>网络通信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3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自动驾驶、智能网联车路协同、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车载操作系统、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智慧座舱、能源管理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车规级芯片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云控系统平台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环境感知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与信息交互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汽车执行与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智能化控制关键技术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3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6G移动通信、毫米波与太赫兹无线通信、空天地海融合、窄带物联网（NB-IoT）、光通信等关键技术与设备制造技术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3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下一代互联网（IPv6）、多网异构融合等关键技术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3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网络空间安全、网络安全监测预警、物联网、工业互联网安全防护及保密关键技术与设备研发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黑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黑体" w:eastAsia="仿宋_GB2312"/>
          <w:b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  <w:t>大数据与区块链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区块链核心算法、开源底层平台软件及硬件、区块链存储、跨链通信与数据协同、身份认证及隐私保护、溯源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共享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应用等关键技术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大规模数据采集、分布式存储、软件定义存储、超融合基础架构等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海量数据采集存储关键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网络数据挖掘、数据可视化、跨网数据交换、大数据分析与治理等数据分析服务关键技术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隐私计算、数据脱敏、对称密码、公钥密码、数字签</w:t>
      </w:r>
    </w:p>
    <w:p>
      <w:pPr>
        <w:adjustRightInd w:val="0"/>
        <w:snapToGrid w:val="0"/>
        <w:spacing w:line="600" w:lineRule="atLeast"/>
        <w:ind w:firstLine="0" w:firstLineChars="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名等数据安全关键技术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新一代 E 级超算、存算一体、虚拟化计算、边缘计算、云计算系统和软件等高性能计算技术和系统研发</w:t>
      </w:r>
    </w:p>
    <w:p>
      <w:pPr>
        <w:numPr>
          <w:ilvl w:val="0"/>
          <w:numId w:val="1"/>
        </w:numPr>
        <w:adjustRightInd w:val="0"/>
        <w:snapToGrid w:val="0"/>
        <w:spacing w:line="600" w:lineRule="atLeast"/>
        <w:ind w:firstLine="643" w:firstLineChars="200"/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人工智能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深度学习、强化学习等核心算法，以及 AI 科学计算、类脑计算、领域基础模型和通用人工智能等关键技术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计算机视觉、智能语音、自然语言处理、自主无人系统等行业应用关键技术，以及基于昇腾等全栈国产 AI 软硬件平台的人工智能计算解决方案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default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default" w:ascii="仿宋_GB2312" w:hAnsi="Times New Roman" w:eastAsia="仿宋_GB2312"/>
          <w:b/>
          <w:color w:val="auto"/>
          <w:sz w:val="32"/>
          <w:szCs w:val="32"/>
          <w:highlight w:val="none"/>
        </w:rPr>
        <w:t xml:space="preserve">3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嵌入式人工智能芯片、神经网络处理器（NPU）芯片、图形处理器（GPU）芯片等专用硬件和模组制造技术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  <w:t>先进材料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Times New Roman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纳米发光材料、大尺寸柔性纳米触控膜、纳米传感器、高转化率纳米催化材料、纳米改性金属、纳米微球等新型纳米材料制备与应用关键技术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高强高模高韧碳纤维制备技术、高性能大丝束/巨丝束碳纤维制备技术与装备、碳纤维热塑性复合材料与高性能复合材料制造等关键技术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高品质石墨烯、生长石墨烯膜、碳纳米管、碳碳复合材料、富勒烯等绿色宏量制备与改性、跨界应用技术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新型金属材料制备及应用技术，功能合金、金属间化合物、低缺陷金属粉末、高性能聚合物、陶瓷材料等增材制造材料制备关键技术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二、关键核心技术研发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楷体_GB2312" w:hAnsi="Times New Roman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  <w:highlight w:val="none"/>
        </w:rPr>
        <w:t>（一）数字创新专项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黑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  <w:t>1.电子信息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0101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3D显示、柔性显示、激光显示、Micro-LED显示、硅基OLED等新型显示技术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新一代功率半导体器件及模块、高压功率集成电路、高端传感器、微机电系统（MEMS）、大功率LED器件等先进制备工艺及装备制造技术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多芯片板级扇出封装、多芯片系统集成（SiP）封装及可靠性测试、三维堆叠式封装、光电合封、光芯合封等集成电路先进封装测试技术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自主可控操作系统和办公软件、工业软件、嵌入式软件等高端软件及硬件关键技术，增材制造大数据智能化设计制造软件系统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default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人工智能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 虚拟现实（VR）、增强现实（AR）、混合现实（MR）、系统仿真、智能认知、人机交互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、人体机能增强、智能可穿戴设备、智能脑机接口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等人工智能关键技术及装备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highlight w:val="none"/>
        </w:rPr>
        <w:t>国家新一代人工智能创新发展试验区建设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落实国家新一代人工智能创新发展试验区建设任务，支持人工智能协同创新工作，推动苏州市成为数字经济和人工智能应用高地。（定向组织）</w:t>
      </w:r>
    </w:p>
    <w:p>
      <w:pPr>
        <w:numPr>
          <w:ilvl w:val="0"/>
          <w:numId w:val="2"/>
        </w:numPr>
        <w:adjustRightInd w:val="0"/>
        <w:snapToGrid w:val="0"/>
        <w:spacing w:line="600" w:lineRule="atLeast"/>
        <w:ind w:firstLine="643" w:firstLineChars="200"/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highlight w:val="none"/>
          <w:lang w:val="en-US" w:eastAsia="zh-CN"/>
        </w:rPr>
        <w:t>智能机器人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多模态人机自然交互、机器人智能操作系统、机器人联邦学习和智能协作等关键技术及软件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柔性触觉传感器、多关节工业机器人、高精度磁编码器、伺服控制器等关键部件制造技术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</w:p>
    <w:p>
      <w:pPr>
        <w:numPr>
          <w:ilvl w:val="-1"/>
          <w:numId w:val="0"/>
        </w:numPr>
        <w:adjustRightInd w:val="0"/>
        <w:snapToGrid w:val="0"/>
        <w:spacing w:line="600" w:lineRule="atLeast"/>
        <w:ind w:firstLine="643" w:firstLineChars="200"/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Times New Roman" w:eastAsia="仿宋_GB2312"/>
          <w:b/>
          <w:color w:val="auto"/>
          <w:sz w:val="32"/>
          <w:szCs w:val="32"/>
          <w:highlight w:val="none"/>
          <w:lang w:val="en-US" w:eastAsia="zh-CN"/>
        </w:rPr>
        <w:t xml:space="preserve">220303 </w:t>
      </w:r>
      <w:r>
        <w:rPr>
          <w:rFonts w:hint="default" w:ascii="仿宋_GB2312" w:hAnsi="Times New Roman" w:eastAsia="仿宋_GB2312"/>
          <w:b w:val="0"/>
          <w:color w:val="auto"/>
          <w:sz w:val="32"/>
          <w:szCs w:val="32"/>
          <w:highlight w:val="none"/>
          <w:lang w:val="en-US" w:eastAsia="zh-CN"/>
        </w:rPr>
        <w:t>服务机器人、</w:t>
      </w:r>
      <w:r>
        <w:rPr>
          <w:rFonts w:hint="default" w:ascii="仿宋_GB2312" w:hAnsi="Times New Roman" w:eastAsia="仿宋_GB2312"/>
          <w:color w:val="auto"/>
          <w:sz w:val="32"/>
          <w:szCs w:val="32"/>
          <w:highlight w:val="none"/>
        </w:rPr>
        <w:t>先进工业机器人、特种机器人整机设计制造关键技术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楷体_GB2312" w:hAnsi="Times New Roman" w:eastAsia="楷体_GB2312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</w:rPr>
        <w:t>（二）</w:t>
      </w:r>
      <w:r>
        <w:rPr>
          <w:rFonts w:hint="eastAsia" w:ascii="楷体_GB2312" w:hAnsi="Times New Roman" w:eastAsia="楷体_GB2312"/>
          <w:b/>
          <w:snapToGrid/>
          <w:color w:val="auto"/>
          <w:kern w:val="2"/>
          <w:sz w:val="32"/>
          <w:szCs w:val="32"/>
        </w:rPr>
        <w:t>装备制造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01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磁悬浮轴承、高端液压（气动）件、高性能密封件、微小型液压件等高性能机械基础件设计制造技术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02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超精密加工及铸造、微纳跨尺度制造、多工艺复合加工、高精度光学器件加工、机器视觉智能检测等先进制造工艺及装备制造技术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高端数控机床、大吨位智能化工程机械、高精度智能装备、智能化大型海工装备及高技术船舶、轨道交通装备、航空发动机等大型整机装备设计、控制软件及系统集成技术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网络协同制造、按需制造、数字孪生及虚拟制造等智能制造关键技术及软件系统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05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轨道交通控制系统、关键部件及整车制造技术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新能源车整车智能化集成及轻量化设计及制造技术，分布式驱动电机、混合动力驱动系统、固态激光雷达等电机、电控关键技术及部件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增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减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材制造关键技术、增材制造先进加工工艺及关键设备制造技术</w:t>
      </w:r>
    </w:p>
    <w:p>
      <w:pPr>
        <w:numPr>
          <w:ilvl w:val="0"/>
          <w:numId w:val="3"/>
        </w:numPr>
        <w:adjustRightInd w:val="0"/>
        <w:snapToGrid w:val="0"/>
        <w:spacing w:line="600" w:lineRule="atLeast"/>
        <w:ind w:firstLine="643" w:firstLineChars="200"/>
        <w:rPr>
          <w:rFonts w:hint="eastAsia" w:ascii="楷体_GB2312" w:hAnsi="Times New Roman" w:eastAsia="楷体_GB2312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  <w:lang w:val="en-US" w:eastAsia="zh-CN"/>
        </w:rPr>
        <w:t>先进</w:t>
      </w:r>
      <w:r>
        <w:rPr>
          <w:rFonts w:hint="eastAsia" w:ascii="楷体_GB2312" w:hAnsi="Times New Roman" w:eastAsia="楷体_GB2312"/>
          <w:b/>
          <w:color w:val="auto"/>
          <w:sz w:val="32"/>
          <w:szCs w:val="32"/>
        </w:rPr>
        <w:t>材料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01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高端光电子材料、柔性电子材料、半导体激光器材料、新型显示材料、高性能传感器材料等新型电子材料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高弹性、耐磨性、耐热性新型功能高分子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特种高分子材料的制备及应用技术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新型稀土功能材料、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高性能膜材料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、金属有机框架（MOF）、生物基可降解塑料及助剂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超材料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等新型功能材料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与智能材料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制备技术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高温合金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与特种合金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、高强高韧铝合金、高性能镁合金、高性能钛合金、高强度特种钢等新型结构材料制备技术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陶瓷基复合材料、高性能纤维及复合材料等新型结构材料制备技术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高通量计算方法及平台、高通量制备与表征评价、材料大数据、人工智能材料设计等材料基因组关键技术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楷体_GB2312" w:hAnsi="Times New Roman" w:eastAsia="楷体_GB2312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Times New Roman" w:eastAsia="楷体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Times New Roman" w:eastAsia="楷体_GB2312"/>
          <w:b/>
          <w:color w:val="auto"/>
          <w:sz w:val="32"/>
          <w:szCs w:val="32"/>
        </w:rPr>
        <w:t>）安全生产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206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安全生产信息化、灾害事故监测预警、危险气体泄漏检测及精准定位、生命探测等灾害预警侦测、智慧安检、轨道交通安全检测系统等关键技术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206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 xml:space="preserve">2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危险环境作业、安全巡检、应急救援等机器人，高机动救援成套化装备等安全生产智能装备制造技术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206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 xml:space="preserve">3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便携式自组网通信、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先进遥感、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远距离透地通信及人员精准定位、井下水下远距离救援通信等应急救援通信关键技术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206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危化品贮槽应急堵漏、危险气体泄漏安全环保处置、险恶环境灭火救援等灾害应急处置关键技术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楷体_GB2312" w:hAnsi="Times New Roman" w:eastAsia="楷体_GB2312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Times New Roman" w:eastAsia="楷体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Times New Roman" w:eastAsia="楷体_GB2312"/>
          <w:b/>
          <w:color w:val="auto"/>
          <w:sz w:val="32"/>
          <w:szCs w:val="32"/>
        </w:rPr>
        <w:t>）其他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207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文化科技融合支撑技术及产品研发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207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02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军民融合技术及产品研发</w:t>
      </w:r>
    </w:p>
    <w:p>
      <w:pPr>
        <w:adjustRightInd w:val="0"/>
        <w:snapToGrid w:val="0"/>
        <w:spacing w:line="600" w:lineRule="atLeast"/>
        <w:ind w:firstLine="643" w:firstLineChars="200"/>
        <w:rPr>
          <w:color w:val="auto"/>
          <w:highlight w:val="none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207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0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 xml:space="preserve">  除上述所列技术方向外，其他技术创新性高、突破性强、带动性大的创新关键核心技术</w:t>
      </w:r>
    </w:p>
    <w:sectPr>
      <w:footerReference r:id="rId3" w:type="default"/>
      <w:pgSz w:w="11906" w:h="16838"/>
      <w:pgMar w:top="1418" w:right="1418" w:bottom="1418" w:left="1418" w:header="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50710"/>
    <w:multiLevelType w:val="singleLevel"/>
    <w:tmpl w:val="C635071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F74C46"/>
    <w:multiLevelType w:val="singleLevel"/>
    <w:tmpl w:val="EFF74C46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5A6C766"/>
    <w:multiLevelType w:val="singleLevel"/>
    <w:tmpl w:val="15A6C766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A0"/>
    <w:rsid w:val="000F64E3"/>
    <w:rsid w:val="003071A0"/>
    <w:rsid w:val="004D36A1"/>
    <w:rsid w:val="0063103B"/>
    <w:rsid w:val="007931B3"/>
    <w:rsid w:val="00BC04F8"/>
    <w:rsid w:val="00BD1EF7"/>
    <w:rsid w:val="00BF0D17"/>
    <w:rsid w:val="00F57DF4"/>
    <w:rsid w:val="0A2C13AD"/>
    <w:rsid w:val="15AC6880"/>
    <w:rsid w:val="17EC36F1"/>
    <w:rsid w:val="1A0F7260"/>
    <w:rsid w:val="1F4372AB"/>
    <w:rsid w:val="22757829"/>
    <w:rsid w:val="262649A4"/>
    <w:rsid w:val="2E370B69"/>
    <w:rsid w:val="342F6732"/>
    <w:rsid w:val="4EE800D9"/>
    <w:rsid w:val="56BE287B"/>
    <w:rsid w:val="685267B0"/>
    <w:rsid w:val="6BB77DC3"/>
    <w:rsid w:val="75BB4369"/>
    <w:rsid w:val="787451B1"/>
    <w:rsid w:val="7959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iPriority w:val="0"/>
    <w:pPr>
      <w:jc w:val="left"/>
    </w:pPr>
    <w:rPr>
      <w:rFonts w:ascii="仿宋_GB2312" w:hAnsi="Times New Roman" w:eastAsia="仿宋_GB2312"/>
      <w:b/>
      <w:sz w:val="28"/>
      <w:szCs w:val="20"/>
    </w:rPr>
  </w:style>
  <w:style w:type="paragraph" w:styleId="3">
    <w:name w:val="Plain Text"/>
    <w:basedOn w:val="1"/>
    <w:link w:val="18"/>
    <w:uiPriority w:val="0"/>
    <w:rPr>
      <w:rFonts w:ascii="宋体" w:hAnsi="Courier New" w:eastAsiaTheme="minorEastAsia" w:cstheme="minorBidi"/>
      <w:szCs w:val="22"/>
    </w:rPr>
  </w:style>
  <w:style w:type="paragraph" w:styleId="4">
    <w:name w:val="Balloon Text"/>
    <w:basedOn w:val="1"/>
    <w:link w:val="16"/>
    <w:semiHidden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1"/>
    <w:link w:val="6"/>
    <w:uiPriority w:val="0"/>
    <w:rPr>
      <w:sz w:val="18"/>
      <w:szCs w:val="18"/>
    </w:rPr>
  </w:style>
  <w:style w:type="character" w:customStyle="1" w:styleId="15">
    <w:name w:val="页脚 Char"/>
    <w:basedOn w:val="11"/>
    <w:link w:val="5"/>
    <w:uiPriority w:val="0"/>
    <w:rPr>
      <w:sz w:val="18"/>
      <w:szCs w:val="18"/>
    </w:rPr>
  </w:style>
  <w:style w:type="character" w:customStyle="1" w:styleId="16">
    <w:name w:val="批注框文本 Char"/>
    <w:link w:val="4"/>
    <w:semiHidden/>
    <w:locked/>
    <w:uiPriority w:val="0"/>
    <w:rPr>
      <w:sz w:val="18"/>
      <w:szCs w:val="18"/>
    </w:rPr>
  </w:style>
  <w:style w:type="character" w:customStyle="1" w:styleId="17">
    <w:name w:val="副标题 Char"/>
    <w:link w:val="7"/>
    <w:locked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8">
    <w:name w:val="纯文本 Char"/>
    <w:link w:val="3"/>
    <w:locked/>
    <w:uiPriority w:val="0"/>
    <w:rPr>
      <w:rFonts w:ascii="宋体" w:hAnsi="Courier New"/>
    </w:rPr>
  </w:style>
  <w:style w:type="paragraph" w:customStyle="1" w:styleId="19">
    <w:name w:val="样式 主题词 + 段后: 8.85 磅 行距: 固定值 26 磅"/>
    <w:basedOn w:val="1"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eastAsia="方正黑体_GBK" w:cs="宋体"/>
      <w:kern w:val="0"/>
      <w:sz w:val="32"/>
      <w:szCs w:val="32"/>
    </w:rPr>
  </w:style>
  <w:style w:type="character" w:customStyle="1" w:styleId="20">
    <w:name w:val="正文文本 Char"/>
    <w:basedOn w:val="11"/>
    <w:link w:val="2"/>
    <w:qFormat/>
    <w:uiPriority w:val="0"/>
    <w:rPr>
      <w:rFonts w:ascii="仿宋_GB2312" w:hAnsi="Times New Roman" w:eastAsia="仿宋_GB2312" w:cs="Times New Roman"/>
      <w:b/>
      <w:sz w:val="28"/>
      <w:szCs w:val="20"/>
    </w:rPr>
  </w:style>
  <w:style w:type="paragraph" w:customStyle="1" w:styleId="2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character" w:customStyle="1" w:styleId="22">
    <w:name w:val="副标题 Char1"/>
    <w:basedOn w:val="11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Batang" w:hAnsi="Batang" w:eastAsia="楷体_GB2312" w:cs="仿宋_GB2312"/>
      <w:color w:val="000000"/>
      <w:kern w:val="0"/>
      <w:sz w:val="28"/>
      <w:szCs w:val="28"/>
    </w:rPr>
  </w:style>
  <w:style w:type="character" w:customStyle="1" w:styleId="24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页脚 Char1"/>
    <w:basedOn w:val="11"/>
    <w:semiHidden/>
    <w:qFormat/>
    <w:uiPriority w:val="99"/>
    <w:rPr>
      <w:kern w:val="2"/>
      <w:sz w:val="18"/>
      <w:szCs w:val="18"/>
    </w:rPr>
  </w:style>
  <w:style w:type="character" w:customStyle="1" w:styleId="26">
    <w:name w:val="页眉 Char1"/>
    <w:basedOn w:val="11"/>
    <w:semiHidden/>
    <w:qFormat/>
    <w:uiPriority w:val="99"/>
    <w:rPr>
      <w:kern w:val="2"/>
      <w:sz w:val="18"/>
      <w:szCs w:val="18"/>
    </w:rPr>
  </w:style>
  <w:style w:type="character" w:customStyle="1" w:styleId="27">
    <w:name w:val="批注框文本 Char1"/>
    <w:basedOn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8">
    <w:name w:val="列出段落11"/>
    <w:basedOn w:val="1"/>
    <w:qFormat/>
    <w:uiPriority w:val="0"/>
    <w:pPr>
      <w:ind w:firstLine="420" w:firstLineChars="200"/>
    </w:pPr>
  </w:style>
  <w:style w:type="paragraph" w:customStyle="1" w:styleId="2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30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2020-06-16T04:41:00Z</dcterms:created>
  <dc:creator>NTKO</dc:creator>
  <cp:lastModifiedBy>user</cp:lastModifiedBy>
  <cp:lastPrinted>2022-05-24T03:00:54Z</cp:lastPrinted>
  <dcterms:modified xsi:type="dcterms:W3CDTF">2022-05-24T03:01:05Z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