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40" w:lineRule="atLeast"/>
        <w:rPr>
          <w:rFonts w:ascii="黑体" w:hAnsi="宋体" w:eastAsia="黑体" w:cs="黑体"/>
          <w:bCs/>
          <w:snapToGrid w:val="0"/>
          <w:kern w:val="0"/>
          <w:sz w:val="32"/>
          <w:szCs w:val="32"/>
        </w:rPr>
      </w:pPr>
      <w:r>
        <w:rPr>
          <w:rFonts w:hint="eastAsia" w:ascii="黑体" w:hAnsi="宋体" w:eastAsia="黑体" w:cs="黑体"/>
          <w:bCs/>
          <w:snapToGrid w:val="0"/>
          <w:kern w:val="0"/>
          <w:sz w:val="32"/>
          <w:szCs w:val="32"/>
        </w:rPr>
        <w:t>附件二</w:t>
      </w:r>
    </w:p>
    <w:p>
      <w:pPr>
        <w:adjustRightInd w:val="0"/>
        <w:snapToGrid w:val="0"/>
        <w:spacing w:line="240" w:lineRule="atLeast"/>
        <w:jc w:val="center"/>
        <w:rPr>
          <w:rFonts w:ascii="方正小标宋_GBK" w:hAnsi="宋体" w:eastAsia="方正小标宋_GBK" w:cs="方正小标宋_GBK"/>
          <w:kern w:val="0"/>
          <w:sz w:val="44"/>
          <w:szCs w:val="44"/>
        </w:rPr>
      </w:pPr>
      <w:r>
        <w:rPr>
          <w:rFonts w:hint="eastAsia" w:ascii="方正小标宋_GBK" w:hAnsi="宋体" w:eastAsia="方正小标宋_GBK" w:cs="方正小标宋_GBK"/>
          <w:snapToGrid w:val="0"/>
          <w:kern w:val="0"/>
          <w:sz w:val="44"/>
          <w:szCs w:val="44"/>
        </w:rPr>
        <w:t>苏州市科技发展计划项目经费预算编制说明</w:t>
      </w: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kern w:val="0"/>
          <w:sz w:val="32"/>
          <w:szCs w:val="32"/>
        </w:rPr>
      </w:pPr>
      <w:r>
        <w:rPr>
          <w:rFonts w:hint="eastAsia" w:ascii="仿宋_GB2312" w:hAnsi="仿宋" w:eastAsia="仿宋_GB2312" w:cs="仿宋_GB2312"/>
          <w:snapToGrid w:val="0"/>
          <w:kern w:val="0"/>
          <w:sz w:val="32"/>
          <w:szCs w:val="32"/>
        </w:rPr>
        <w:t>为贯彻落实《国务院关于优化科研管理提升科研绩效若干措施的通知》（国发〔</w:t>
      </w:r>
      <w:r>
        <w:rPr>
          <w:rFonts w:hint="eastAsia" w:ascii="仿宋_GB2312" w:hAnsi="仿宋" w:eastAsia="仿宋_GB2312" w:cs="仿宋_GB2312"/>
          <w:kern w:val="0"/>
          <w:sz w:val="32"/>
          <w:szCs w:val="32"/>
        </w:rPr>
        <w:t>2018</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25</w:t>
      </w:r>
      <w:r>
        <w:rPr>
          <w:rFonts w:hint="eastAsia" w:ascii="仿宋_GB2312" w:hAnsi="仿宋" w:eastAsia="仿宋_GB2312" w:cs="仿宋_GB2312"/>
          <w:snapToGrid w:val="0"/>
          <w:kern w:val="0"/>
          <w:sz w:val="32"/>
          <w:szCs w:val="32"/>
        </w:rPr>
        <w:t>号）、省委省政府《关于深化科技体制机制改革推动高质量发展的若干政策》（苏发〔</w:t>
      </w:r>
      <w:r>
        <w:rPr>
          <w:rFonts w:hint="eastAsia" w:ascii="仿宋_GB2312" w:hAnsi="仿宋" w:eastAsia="仿宋_GB2312" w:cs="仿宋_GB2312"/>
          <w:kern w:val="0"/>
          <w:sz w:val="32"/>
          <w:szCs w:val="32"/>
        </w:rPr>
        <w:t>2018</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18</w:t>
      </w:r>
      <w:r>
        <w:rPr>
          <w:rFonts w:hint="eastAsia" w:ascii="仿宋_GB2312" w:hAnsi="仿宋" w:eastAsia="仿宋_GB2312" w:cs="仿宋_GB2312"/>
          <w:snapToGrid w:val="0"/>
          <w:kern w:val="0"/>
          <w:sz w:val="32"/>
          <w:szCs w:val="32"/>
        </w:rPr>
        <w:t>号）和市委市政府《关于进一步优化科研管理释放创新活力提升自主创新能力的若干措施》（苏委办发〔</w:t>
      </w:r>
      <w:r>
        <w:rPr>
          <w:rFonts w:hint="eastAsia" w:ascii="仿宋_GB2312" w:hAnsi="仿宋" w:eastAsia="仿宋_GB2312" w:cs="仿宋_GB2312"/>
          <w:kern w:val="0"/>
          <w:sz w:val="32"/>
          <w:szCs w:val="32"/>
        </w:rPr>
        <w:t>2018</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109</w:t>
      </w:r>
      <w:r>
        <w:rPr>
          <w:rFonts w:hint="eastAsia" w:ascii="仿宋_GB2312" w:hAnsi="仿宋" w:eastAsia="仿宋_GB2312" w:cs="仿宋_GB2312"/>
          <w:snapToGrid w:val="0"/>
          <w:kern w:val="0"/>
          <w:sz w:val="32"/>
          <w:szCs w:val="32"/>
        </w:rPr>
        <w:t>号）等有关文件精神，结合《苏州市科技计划项目管理办法》（苏科规〔</w:t>
      </w:r>
      <w:r>
        <w:rPr>
          <w:rFonts w:hint="eastAsia" w:ascii="仿宋_GB2312" w:hAnsi="仿宋" w:eastAsia="仿宋_GB2312" w:cs="仿宋_GB2312"/>
          <w:kern w:val="0"/>
          <w:sz w:val="32"/>
          <w:szCs w:val="32"/>
        </w:rPr>
        <w:t>2019</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2</w:t>
      </w:r>
      <w:r>
        <w:rPr>
          <w:rFonts w:hint="eastAsia" w:ascii="仿宋_GB2312" w:hAnsi="仿宋" w:eastAsia="仿宋_GB2312" w:cs="仿宋_GB2312"/>
          <w:snapToGrid w:val="0"/>
          <w:kern w:val="0"/>
          <w:sz w:val="32"/>
          <w:szCs w:val="32"/>
        </w:rPr>
        <w:t>号）规定，现就苏州市科技计划项目经费预算编制说明如下：</w:t>
      </w:r>
    </w:p>
    <w:p>
      <w:pPr>
        <w:adjustRightInd w:val="0"/>
        <w:snapToGrid w:val="0"/>
        <w:spacing w:line="600" w:lineRule="atLeast"/>
        <w:ind w:firstLine="640" w:firstLineChars="200"/>
        <w:rPr>
          <w:rFonts w:ascii="黑体" w:hAnsi="宋体" w:eastAsia="黑体" w:cs="黑体"/>
          <w:kern w:val="0"/>
          <w:sz w:val="32"/>
          <w:szCs w:val="32"/>
        </w:rPr>
      </w:pPr>
      <w:r>
        <w:rPr>
          <w:rFonts w:hint="eastAsia" w:ascii="黑体" w:hAnsi="宋体" w:eastAsia="黑体" w:cs="黑体"/>
          <w:snapToGrid w:val="0"/>
          <w:kern w:val="0"/>
          <w:sz w:val="32"/>
          <w:szCs w:val="32"/>
        </w:rPr>
        <w:t>一、适用范围</w:t>
      </w:r>
    </w:p>
    <w:p>
      <w:pPr>
        <w:adjustRightInd w:val="0"/>
        <w:snapToGrid w:val="0"/>
        <w:spacing w:line="600" w:lineRule="atLeast"/>
        <w:ind w:firstLine="640" w:firstLineChars="200"/>
        <w:rPr>
          <w:rFonts w:ascii="仿宋_GB2312" w:hAnsi="仿宋" w:eastAsia="仿宋_GB2312" w:cs="仿宋_GB2312"/>
          <w:kern w:val="0"/>
          <w:sz w:val="32"/>
          <w:szCs w:val="32"/>
        </w:rPr>
      </w:pPr>
      <w:r>
        <w:rPr>
          <w:rFonts w:hint="eastAsia" w:ascii="仿宋_GB2312" w:hAnsi="仿宋" w:eastAsia="仿宋_GB2312" w:cs="仿宋_GB2312"/>
          <w:snapToGrid w:val="0"/>
          <w:kern w:val="0"/>
          <w:sz w:val="32"/>
          <w:szCs w:val="32"/>
        </w:rPr>
        <w:t>苏州市科技计划前资助项目需要编制项目经费预算。</w:t>
      </w:r>
    </w:p>
    <w:p>
      <w:pPr>
        <w:adjustRightInd w:val="0"/>
        <w:snapToGrid w:val="0"/>
        <w:spacing w:line="600" w:lineRule="atLeast"/>
        <w:ind w:firstLine="640" w:firstLineChars="200"/>
        <w:rPr>
          <w:rFonts w:ascii="黑体" w:hAnsi="宋体" w:eastAsia="黑体" w:cs="黑体"/>
          <w:kern w:val="0"/>
          <w:sz w:val="32"/>
          <w:szCs w:val="32"/>
        </w:rPr>
      </w:pPr>
      <w:r>
        <w:rPr>
          <w:rFonts w:hint="eastAsia" w:ascii="黑体" w:hAnsi="宋体" w:eastAsia="黑体" w:cs="黑体"/>
          <w:snapToGrid w:val="0"/>
          <w:kern w:val="0"/>
          <w:sz w:val="32"/>
          <w:szCs w:val="32"/>
        </w:rPr>
        <w:t>二、经费预算编制科目</w:t>
      </w:r>
    </w:p>
    <w:p>
      <w:pPr>
        <w:adjustRightInd w:val="0"/>
        <w:snapToGrid w:val="0"/>
        <w:spacing w:line="600" w:lineRule="atLeast"/>
        <w:ind w:firstLine="640" w:firstLineChars="200"/>
        <w:rPr>
          <w:rFonts w:ascii="仿宋_GB2312" w:hAnsi="仿宋" w:eastAsia="仿宋_GB2312" w:cs="仿宋_GB2312"/>
          <w:kern w:val="0"/>
          <w:sz w:val="32"/>
          <w:szCs w:val="32"/>
        </w:rPr>
      </w:pPr>
      <w:r>
        <w:rPr>
          <w:rFonts w:hint="eastAsia" w:ascii="仿宋_GB2312" w:hAnsi="仿宋" w:eastAsia="仿宋_GB2312" w:cs="仿宋_GB2312"/>
          <w:snapToGrid w:val="0"/>
          <w:kern w:val="0"/>
          <w:sz w:val="32"/>
          <w:szCs w:val="32"/>
        </w:rPr>
        <w:t>项目经费由直接费用和间接费用组成，编制科目预算时只需测算总额。</w:t>
      </w:r>
    </w:p>
    <w:p>
      <w:pPr>
        <w:adjustRightInd w:val="0"/>
        <w:snapToGrid w:val="0"/>
        <w:spacing w:line="600" w:lineRule="atLeast"/>
        <w:ind w:firstLine="643" w:firstLineChars="200"/>
        <w:rPr>
          <w:rFonts w:ascii="楷体_GB2312" w:eastAsia="楷体_GB2312" w:cs="楷体_GB2312"/>
          <w:b/>
          <w:sz w:val="32"/>
          <w:szCs w:val="32"/>
        </w:rPr>
      </w:pPr>
      <w:r>
        <w:rPr>
          <w:rFonts w:hint="eastAsia" w:ascii="楷体_GB2312" w:hAnsi="Times New Roman" w:eastAsia="楷体_GB2312" w:cs="楷体_GB2312"/>
          <w:b/>
          <w:sz w:val="32"/>
          <w:szCs w:val="32"/>
        </w:rPr>
        <w:t>（一）直接费用是指在项目实施过程中发生的与之直接相关的费用。主要包括：</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仿宋_GB2312" w:hAnsi="仿宋" w:eastAsia="仿宋_GB2312" w:cs="仿宋_GB2312"/>
          <w:b/>
          <w:bCs/>
          <w:snapToGrid w:val="0"/>
          <w:kern w:val="0"/>
          <w:sz w:val="32"/>
          <w:szCs w:val="32"/>
        </w:rPr>
        <w:t>1.设备费：</w:t>
      </w:r>
      <w:r>
        <w:rPr>
          <w:rFonts w:hint="eastAsia" w:ascii="仿宋_GB2312" w:hAnsi="仿宋" w:eastAsia="仿宋_GB2312" w:cs="仿宋_GB2312"/>
          <w:snapToGrid w:val="0"/>
          <w:kern w:val="0"/>
          <w:sz w:val="32"/>
          <w:szCs w:val="32"/>
        </w:rPr>
        <w:t>主要列支项目实施过程中购置或试制专用仪器设备，对现有仪器设备进行升级改造，以及租赁外单位仪器设备而发生的费用。计算类仪器设备和软件工具可在设备费科目列支。</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仿宋_GB2312" w:hAnsi="仿宋" w:eastAsia="仿宋_GB2312" w:cs="仿宋_GB2312"/>
          <w:b/>
          <w:bCs/>
          <w:snapToGrid w:val="0"/>
          <w:kern w:val="0"/>
          <w:sz w:val="32"/>
          <w:szCs w:val="32"/>
        </w:rPr>
        <w:t>2.业务费：</w:t>
      </w:r>
      <w:r>
        <w:rPr>
          <w:rFonts w:hint="eastAsia" w:ascii="仿宋_GB2312" w:hAnsi="仿宋" w:eastAsia="仿宋_GB2312" w:cs="仿宋_GB2312"/>
          <w:snapToGrid w:val="0"/>
          <w:kern w:val="0"/>
          <w:sz w:val="32"/>
          <w:szCs w:val="32"/>
        </w:rPr>
        <w:t>主要列支项目实施过程中消耗的各种材料、辅助材料等低值易耗品的采购、运输、装卸、整理等费用，发生的测试化验加工、燃料动力、出版</w:t>
      </w:r>
      <w:r>
        <w:rPr>
          <w:rFonts w:hint="eastAsia" w:ascii="仿宋_GB2312" w:hAnsi="仿宋" w:eastAsia="仿宋_GB2312" w:cs="仿宋_GB2312"/>
          <w:kern w:val="0"/>
          <w:sz w:val="32"/>
          <w:szCs w:val="32"/>
        </w:rPr>
        <w:t>/</w:t>
      </w:r>
      <w:r>
        <w:rPr>
          <w:rFonts w:hint="eastAsia" w:ascii="仿宋_GB2312" w:hAnsi="仿宋" w:eastAsia="仿宋_GB2312" w:cs="仿宋_GB2312"/>
          <w:snapToGrid w:val="0"/>
          <w:kern w:val="0"/>
          <w:sz w:val="32"/>
          <w:szCs w:val="32"/>
        </w:rPr>
        <w:t>文献</w:t>
      </w:r>
      <w:r>
        <w:rPr>
          <w:rFonts w:hint="eastAsia" w:ascii="仿宋_GB2312" w:hAnsi="仿宋" w:eastAsia="仿宋_GB2312" w:cs="仿宋_GB2312"/>
          <w:kern w:val="0"/>
          <w:sz w:val="32"/>
          <w:szCs w:val="32"/>
        </w:rPr>
        <w:t>/</w:t>
      </w:r>
      <w:r>
        <w:rPr>
          <w:rFonts w:hint="eastAsia" w:ascii="仿宋_GB2312" w:hAnsi="仿宋" w:eastAsia="仿宋_GB2312" w:cs="仿宋_GB2312"/>
          <w:snapToGrid w:val="0"/>
          <w:kern w:val="0"/>
          <w:sz w:val="32"/>
          <w:szCs w:val="32"/>
        </w:rPr>
        <w:t>信息传播</w:t>
      </w:r>
      <w:r>
        <w:rPr>
          <w:rFonts w:hint="eastAsia" w:ascii="仿宋_GB2312" w:hAnsi="仿宋" w:eastAsia="仿宋_GB2312" w:cs="仿宋_GB2312"/>
          <w:kern w:val="0"/>
          <w:sz w:val="32"/>
          <w:szCs w:val="32"/>
        </w:rPr>
        <w:t>/</w:t>
      </w:r>
      <w:r>
        <w:rPr>
          <w:rFonts w:hint="eastAsia" w:ascii="仿宋_GB2312" w:hAnsi="仿宋" w:eastAsia="仿宋_GB2312" w:cs="仿宋_GB2312"/>
          <w:snapToGrid w:val="0"/>
          <w:kern w:val="0"/>
          <w:sz w:val="32"/>
          <w:szCs w:val="32"/>
        </w:rPr>
        <w:t>知识产权事务、会议</w:t>
      </w:r>
      <w:r>
        <w:rPr>
          <w:rFonts w:hint="eastAsia" w:ascii="仿宋_GB2312" w:hAnsi="仿宋" w:eastAsia="仿宋_GB2312" w:cs="仿宋_GB2312"/>
          <w:kern w:val="0"/>
          <w:sz w:val="32"/>
          <w:szCs w:val="32"/>
        </w:rPr>
        <w:t>/</w:t>
      </w:r>
      <w:r>
        <w:rPr>
          <w:rFonts w:hint="eastAsia" w:ascii="仿宋_GB2312" w:hAnsi="仿宋" w:eastAsia="仿宋_GB2312" w:cs="仿宋_GB2312"/>
          <w:snapToGrid w:val="0"/>
          <w:kern w:val="0"/>
          <w:sz w:val="32"/>
          <w:szCs w:val="32"/>
        </w:rPr>
        <w:t>差旅</w:t>
      </w:r>
      <w:r>
        <w:rPr>
          <w:rFonts w:hint="eastAsia" w:ascii="仿宋_GB2312" w:hAnsi="仿宋" w:eastAsia="仿宋_GB2312" w:cs="仿宋_GB2312"/>
          <w:kern w:val="0"/>
          <w:sz w:val="32"/>
          <w:szCs w:val="32"/>
        </w:rPr>
        <w:t>/</w:t>
      </w:r>
      <w:r>
        <w:rPr>
          <w:rFonts w:hint="eastAsia" w:ascii="仿宋_GB2312" w:hAnsi="仿宋" w:eastAsia="仿宋_GB2312" w:cs="仿宋_GB2312"/>
          <w:snapToGrid w:val="0"/>
          <w:kern w:val="0"/>
          <w:sz w:val="32"/>
          <w:szCs w:val="32"/>
        </w:rPr>
        <w:t>国际合作交流等费用，以及其他相关支出。</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仿宋_GB2312" w:hAnsi="仿宋" w:eastAsia="仿宋_GB2312" w:cs="仿宋_GB2312"/>
          <w:b/>
          <w:bCs/>
          <w:snapToGrid w:val="0"/>
          <w:kern w:val="0"/>
          <w:sz w:val="32"/>
          <w:szCs w:val="32"/>
        </w:rPr>
        <w:t>3.劳务费：</w:t>
      </w:r>
      <w:r>
        <w:rPr>
          <w:rFonts w:hint="eastAsia" w:ascii="仿宋_GB2312" w:hAnsi="仿宋" w:eastAsia="仿宋_GB2312" w:cs="仿宋_GB2312"/>
          <w:snapToGrid w:val="0"/>
          <w:kern w:val="0"/>
          <w:sz w:val="32"/>
          <w:szCs w:val="32"/>
        </w:rPr>
        <w:t>主要列支项目实施过程中支付给参与项目的研究生、博士后、访问学者和项目聘用的研究人员、科研辅助人员等的劳务性费用；以及支付给临时聘请的咨询专家的费用等。</w:t>
      </w:r>
    </w:p>
    <w:p>
      <w:pPr>
        <w:adjustRightInd w:val="0"/>
        <w:snapToGrid w:val="0"/>
        <w:spacing w:line="600" w:lineRule="atLeast"/>
        <w:ind w:firstLine="643" w:firstLineChars="200"/>
        <w:rPr>
          <w:rFonts w:ascii="楷体_GB2312" w:eastAsia="楷体_GB2312" w:cs="楷体_GB2312"/>
          <w:b/>
          <w:sz w:val="32"/>
          <w:szCs w:val="32"/>
        </w:rPr>
      </w:pPr>
      <w:r>
        <w:rPr>
          <w:rFonts w:hint="eastAsia" w:ascii="楷体_GB2312" w:hAnsi="Times New Roman" w:eastAsia="楷体_GB2312" w:cs="楷体_GB2312"/>
          <w:b/>
          <w:sz w:val="32"/>
          <w:szCs w:val="32"/>
        </w:rPr>
        <w:t>（二）间接费用是指项目实施单位在组织实施项目过程中发生的无法在直接费用中列支的相关费用，包括有关管理费和绩效支出等。</w:t>
      </w:r>
    </w:p>
    <w:p>
      <w:pPr>
        <w:adjustRightInd w:val="0"/>
        <w:snapToGrid w:val="0"/>
        <w:spacing w:line="600" w:lineRule="atLeast"/>
        <w:ind w:firstLine="640" w:firstLineChars="200"/>
        <w:rPr>
          <w:rFonts w:ascii="仿宋_GB2312" w:hAnsi="仿宋" w:eastAsia="仿宋_GB2312" w:cs="仿宋_GB2312"/>
          <w:kern w:val="0"/>
          <w:sz w:val="32"/>
          <w:szCs w:val="32"/>
        </w:rPr>
      </w:pPr>
      <w:r>
        <w:rPr>
          <w:rFonts w:hint="eastAsia" w:ascii="仿宋_GB2312" w:hAnsi="仿宋" w:eastAsia="仿宋_GB2312" w:cs="仿宋_GB2312"/>
          <w:snapToGrid w:val="0"/>
          <w:kern w:val="0"/>
          <w:sz w:val="32"/>
          <w:szCs w:val="32"/>
        </w:rPr>
        <w:t>提高项目间接费用比例，按照不超过直接费用扣除设备费后的一定比例核定，具体比例为：</w:t>
      </w:r>
      <w:r>
        <w:rPr>
          <w:rFonts w:hint="eastAsia" w:ascii="仿宋_GB2312" w:hAnsi="仿宋" w:eastAsia="仿宋_GB2312" w:cs="仿宋_GB2312"/>
          <w:kern w:val="0"/>
          <w:sz w:val="32"/>
          <w:szCs w:val="32"/>
        </w:rPr>
        <w:t>500</w:t>
      </w:r>
      <w:r>
        <w:rPr>
          <w:rFonts w:hint="eastAsia" w:ascii="仿宋_GB2312" w:hAnsi="仿宋" w:eastAsia="仿宋_GB2312" w:cs="仿宋_GB2312"/>
          <w:snapToGrid w:val="0"/>
          <w:kern w:val="0"/>
          <w:sz w:val="32"/>
          <w:szCs w:val="32"/>
        </w:rPr>
        <w:t>万元及以下部分为</w:t>
      </w:r>
      <w:r>
        <w:rPr>
          <w:rFonts w:hint="eastAsia" w:ascii="仿宋_GB2312" w:hAnsi="仿宋" w:eastAsia="仿宋_GB2312" w:cs="仿宋_GB2312"/>
          <w:kern w:val="0"/>
          <w:sz w:val="32"/>
          <w:szCs w:val="32"/>
        </w:rPr>
        <w:t>30%</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500</w:t>
      </w:r>
      <w:r>
        <w:rPr>
          <w:rFonts w:hint="eastAsia" w:ascii="仿宋_GB2312" w:hAnsi="仿宋" w:eastAsia="仿宋_GB2312" w:cs="仿宋_GB2312"/>
          <w:snapToGrid w:val="0"/>
          <w:kern w:val="0"/>
          <w:sz w:val="32"/>
          <w:szCs w:val="32"/>
        </w:rPr>
        <w:t>万元至</w:t>
      </w:r>
      <w:r>
        <w:rPr>
          <w:rFonts w:hint="eastAsia" w:ascii="仿宋_GB2312" w:hAnsi="仿宋" w:eastAsia="仿宋_GB2312" w:cs="仿宋_GB2312"/>
          <w:kern w:val="0"/>
          <w:sz w:val="32"/>
          <w:szCs w:val="32"/>
        </w:rPr>
        <w:t>1000</w:t>
      </w:r>
      <w:r>
        <w:rPr>
          <w:rFonts w:hint="eastAsia" w:ascii="仿宋_GB2312" w:hAnsi="仿宋" w:eastAsia="仿宋_GB2312" w:cs="仿宋_GB2312"/>
          <w:snapToGrid w:val="0"/>
          <w:kern w:val="0"/>
          <w:sz w:val="32"/>
          <w:szCs w:val="32"/>
        </w:rPr>
        <w:t>万元的部分为</w:t>
      </w:r>
      <w:r>
        <w:rPr>
          <w:rFonts w:hint="eastAsia" w:ascii="仿宋_GB2312" w:hAnsi="仿宋" w:eastAsia="仿宋_GB2312" w:cs="仿宋_GB2312"/>
          <w:kern w:val="0"/>
          <w:sz w:val="32"/>
          <w:szCs w:val="32"/>
        </w:rPr>
        <w:t>25%</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1000</w:t>
      </w:r>
      <w:r>
        <w:rPr>
          <w:rFonts w:hint="eastAsia" w:ascii="仿宋_GB2312" w:hAnsi="仿宋" w:eastAsia="仿宋_GB2312" w:cs="仿宋_GB2312"/>
          <w:snapToGrid w:val="0"/>
          <w:kern w:val="0"/>
          <w:sz w:val="32"/>
          <w:szCs w:val="32"/>
        </w:rPr>
        <w:t>万元以上的部分为</w:t>
      </w:r>
      <w:r>
        <w:rPr>
          <w:rFonts w:hint="eastAsia" w:ascii="仿宋_GB2312" w:hAnsi="仿宋" w:eastAsia="仿宋_GB2312" w:cs="仿宋_GB2312"/>
          <w:kern w:val="0"/>
          <w:sz w:val="32"/>
          <w:szCs w:val="32"/>
        </w:rPr>
        <w:t>20%</w:t>
      </w:r>
      <w:r>
        <w:rPr>
          <w:rFonts w:hint="eastAsia" w:ascii="仿宋_GB2312" w:hAnsi="仿宋" w:eastAsia="仿宋_GB2312" w:cs="仿宋_GB2312"/>
          <w:snapToGrid w:val="0"/>
          <w:kern w:val="0"/>
          <w:sz w:val="32"/>
          <w:szCs w:val="32"/>
        </w:rPr>
        <w:t>。</w:t>
      </w:r>
    </w:p>
    <w:p>
      <w:pPr>
        <w:adjustRightInd w:val="0"/>
        <w:snapToGrid w:val="0"/>
        <w:spacing w:line="600" w:lineRule="atLeast"/>
        <w:ind w:firstLine="640" w:firstLineChars="200"/>
        <w:rPr>
          <w:rFonts w:ascii="仿宋_GB2312" w:hAnsi="仿宋" w:eastAsia="仿宋_GB2312" w:cs="仿宋_GB2312"/>
          <w:kern w:val="0"/>
          <w:sz w:val="32"/>
          <w:szCs w:val="32"/>
        </w:rPr>
      </w:pPr>
      <w:r>
        <w:rPr>
          <w:rFonts w:hint="eastAsia" w:ascii="仿宋_GB2312" w:hAnsi="仿宋" w:eastAsia="仿宋_GB2312" w:cs="仿宋_GB2312"/>
          <w:snapToGrid w:val="0"/>
          <w:kern w:val="0"/>
          <w:sz w:val="32"/>
          <w:szCs w:val="32"/>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数，纳入项目承担单位绩效工资总量管理。间接费用的绩效支出中，给予</w:t>
      </w:r>
      <w:r>
        <w:rPr>
          <w:rFonts w:hint="eastAsia" w:ascii="仿宋_GB2312" w:hAnsi="仿宋" w:eastAsia="仿宋_GB2312" w:cs="仿宋_GB2312"/>
          <w:kern w:val="0"/>
          <w:sz w:val="32"/>
          <w:szCs w:val="32"/>
        </w:rPr>
        <w:t>35</w:t>
      </w:r>
      <w:r>
        <w:rPr>
          <w:rFonts w:hint="eastAsia" w:ascii="仿宋_GB2312" w:hAnsi="仿宋" w:eastAsia="仿宋_GB2312" w:cs="仿宋_GB2312"/>
          <w:snapToGrid w:val="0"/>
          <w:kern w:val="0"/>
          <w:sz w:val="32"/>
          <w:szCs w:val="32"/>
        </w:rPr>
        <w:t>周岁以下青年科技人员的比例原则上不低于</w:t>
      </w:r>
      <w:r>
        <w:rPr>
          <w:rFonts w:hint="eastAsia" w:ascii="仿宋_GB2312" w:hAnsi="仿宋" w:eastAsia="仿宋_GB2312" w:cs="仿宋_GB2312"/>
          <w:kern w:val="0"/>
          <w:sz w:val="32"/>
          <w:szCs w:val="32"/>
        </w:rPr>
        <w:t>30%</w:t>
      </w:r>
      <w:r>
        <w:rPr>
          <w:rFonts w:hint="eastAsia" w:ascii="仿宋_GB2312" w:hAnsi="仿宋" w:eastAsia="仿宋_GB2312" w:cs="仿宋_GB2312"/>
          <w:snapToGrid w:val="0"/>
          <w:kern w:val="0"/>
          <w:sz w:val="32"/>
          <w:szCs w:val="32"/>
        </w:rPr>
        <w:t>。</w:t>
      </w:r>
    </w:p>
    <w:p>
      <w:pPr>
        <w:adjustRightInd w:val="0"/>
        <w:snapToGrid w:val="0"/>
        <w:spacing w:line="600" w:lineRule="atLeast"/>
        <w:ind w:firstLine="640" w:firstLineChars="200"/>
        <w:rPr>
          <w:rFonts w:hint="eastAsia" w:ascii="黑体" w:hAnsi="宋体" w:eastAsia="黑体" w:cs="黑体"/>
          <w:snapToGrid w:val="0"/>
          <w:kern w:val="0"/>
          <w:sz w:val="32"/>
          <w:szCs w:val="32"/>
        </w:rPr>
      </w:pPr>
    </w:p>
    <w:p>
      <w:pPr>
        <w:adjustRightInd w:val="0"/>
        <w:snapToGrid w:val="0"/>
        <w:spacing w:line="600" w:lineRule="atLeast"/>
        <w:ind w:firstLine="640" w:firstLineChars="200"/>
        <w:rPr>
          <w:rFonts w:ascii="黑体" w:hAnsi="宋体" w:eastAsia="黑体" w:cs="黑体"/>
          <w:kern w:val="0"/>
          <w:sz w:val="32"/>
          <w:szCs w:val="32"/>
        </w:rPr>
      </w:pPr>
      <w:r>
        <w:rPr>
          <w:rFonts w:hint="eastAsia" w:ascii="黑体" w:hAnsi="宋体" w:eastAsia="黑体" w:cs="黑体"/>
          <w:snapToGrid w:val="0"/>
          <w:kern w:val="0"/>
          <w:sz w:val="32"/>
          <w:szCs w:val="32"/>
        </w:rPr>
        <w:t>三、项目经费管理要求</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楷体_GB2312" w:hAnsi="仿宋" w:eastAsia="楷体_GB2312" w:cs="楷体_GB2312"/>
          <w:b/>
          <w:bCs/>
          <w:snapToGrid w:val="0"/>
          <w:kern w:val="0"/>
          <w:sz w:val="32"/>
          <w:szCs w:val="32"/>
        </w:rPr>
        <w:t>1.扩大预算调剂权和经费使用自主权。</w:t>
      </w:r>
      <w:r>
        <w:rPr>
          <w:rFonts w:hint="eastAsia" w:ascii="仿宋_GB2312" w:hAnsi="仿宋" w:eastAsia="仿宋_GB2312" w:cs="仿宋_GB2312"/>
          <w:snapToGrid w:val="0"/>
          <w:kern w:val="0"/>
          <w:sz w:val="32"/>
          <w:szCs w:val="32"/>
        </w:rPr>
        <w:t>在市级科研项目总预算不变的情况下，项目负责人可根据科研活动实际需要自主调整直接费用全部科目的经费支出，不受比例限制，由项目承担单位办理调剂手续；可在预算范围内自主安排经费开支，项目承担单位应改进管理方式、优化审查程序。上述安排和调整均可作为项目验收（结题）、评估评审或审计检查等依据。项目承担单位应统筹现有设备配置情况和科研项目实际需求，从严控制设备购置，鼓励开放共享、自主研制、租赁专用仪器设备以及对现有仪器设备进行升级改造，避免重复购置。</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楷体_GB2312" w:hAnsi="仿宋" w:eastAsia="楷体_GB2312" w:cs="楷体_GB2312"/>
          <w:b/>
          <w:bCs/>
          <w:snapToGrid w:val="0"/>
          <w:kern w:val="0"/>
          <w:sz w:val="32"/>
          <w:szCs w:val="32"/>
        </w:rPr>
        <w:t>2.拓宽项目直接费用列支范围。</w:t>
      </w:r>
      <w:r>
        <w:rPr>
          <w:rFonts w:hint="eastAsia" w:ascii="仿宋_GB2312" w:hAnsi="仿宋" w:eastAsia="仿宋_GB2312" w:cs="仿宋_GB2312"/>
          <w:snapToGrid w:val="0"/>
          <w:kern w:val="0"/>
          <w:sz w:val="32"/>
          <w:szCs w:val="32"/>
        </w:rPr>
        <w:t>与科研院所、高等学校等事业单位签订劳动合同的编制外人员工资性支出、参与科研项目的退休返聘人员费用可在市级科研项目劳务费中列支；软件、集成电路设计等特定领域的市级科研项目，可列支固定岗位或事业编制人员劳务费。项目承担单位因科研活动需要，邀请国内外专家、学者和有关人员参加由其主办的会议，对确需负担的城市间交通费、国际旅费，可在会议费等费用中列支。由项目承担单位缴纳的项目聘用人员社会保险补助、住房公积金等可纳入劳务费科目列支。</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楷体_GB2312" w:hAnsi="仿宋" w:eastAsia="楷体_GB2312" w:cs="楷体_GB2312"/>
          <w:b/>
          <w:bCs/>
          <w:snapToGrid w:val="0"/>
          <w:kern w:val="0"/>
          <w:sz w:val="32"/>
          <w:szCs w:val="32"/>
        </w:rPr>
        <w:t>3.改进项目资金留用处理方式。</w:t>
      </w:r>
      <w:r>
        <w:rPr>
          <w:rFonts w:hint="eastAsia" w:ascii="仿宋_GB2312" w:hAnsi="仿宋" w:eastAsia="仿宋_GB2312" w:cs="仿宋_GB2312"/>
          <w:snapToGrid w:val="0"/>
          <w:kern w:val="0"/>
          <w:sz w:val="32"/>
          <w:szCs w:val="32"/>
        </w:rPr>
        <w:t>完成合同书任务并通过验收的市科技项目，结余资金可留归项目组用于后续科研活动直接支出或由项目承担单位统筹用于科研活动直接支出。撤销立项、总结结题、申请终止、强制终止的项目结余资金均按原拨付渠道收回。</w:t>
      </w:r>
    </w:p>
    <w:p>
      <w:pPr>
        <w:adjustRightInd w:val="0"/>
        <w:snapToGrid w:val="0"/>
        <w:spacing w:line="600" w:lineRule="atLeast"/>
        <w:ind w:firstLine="643" w:firstLineChars="200"/>
        <w:rPr>
          <w:rFonts w:ascii="仿宋_GB2312" w:hAnsi="仿宋" w:eastAsia="仿宋_GB2312" w:cs="仿宋_GB2312"/>
          <w:kern w:val="0"/>
          <w:sz w:val="32"/>
          <w:szCs w:val="32"/>
        </w:rPr>
      </w:pPr>
      <w:r>
        <w:rPr>
          <w:rFonts w:hint="eastAsia" w:ascii="楷体_GB2312" w:hAnsi="仿宋" w:eastAsia="楷体_GB2312" w:cs="楷体_GB2312"/>
          <w:b/>
          <w:bCs/>
          <w:snapToGrid w:val="0"/>
          <w:kern w:val="0"/>
          <w:sz w:val="32"/>
          <w:szCs w:val="32"/>
        </w:rPr>
        <w:t>4.项目承担单位要及时落实项目自筹经费，保障项目顺利实施。</w:t>
      </w:r>
      <w:r>
        <w:rPr>
          <w:rFonts w:hint="eastAsia" w:ascii="仿宋_GB2312" w:hAnsi="仿宋" w:eastAsia="仿宋_GB2312" w:cs="仿宋_GB2312"/>
          <w:snapToGrid w:val="0"/>
          <w:kern w:val="0"/>
          <w:sz w:val="32"/>
          <w:szCs w:val="32"/>
        </w:rPr>
        <w:t>对市科技项目经费单独建账、专项核算、专款专用，符合《苏州市市级科技创新专项资金管理办法》（苏财规〔</w:t>
      </w:r>
      <w:r>
        <w:rPr>
          <w:rFonts w:hint="eastAsia" w:ascii="仿宋_GB2312" w:hAnsi="仿宋" w:eastAsia="仿宋_GB2312" w:cs="仿宋_GB2312"/>
          <w:kern w:val="0"/>
          <w:sz w:val="32"/>
          <w:szCs w:val="32"/>
        </w:rPr>
        <w:t>2020</w:t>
      </w:r>
      <w:r>
        <w:rPr>
          <w:rFonts w:hint="eastAsia" w:ascii="仿宋_GB2312" w:hAnsi="仿宋" w:eastAsia="仿宋_GB2312" w:cs="仿宋_GB2312"/>
          <w:snapToGrid w:val="0"/>
          <w:kern w:val="0"/>
          <w:sz w:val="32"/>
          <w:szCs w:val="32"/>
        </w:rPr>
        <w:t>〕</w:t>
      </w:r>
      <w:r>
        <w:rPr>
          <w:rFonts w:hint="eastAsia" w:ascii="仿宋_GB2312" w:hAnsi="仿宋" w:eastAsia="仿宋_GB2312" w:cs="仿宋_GB2312"/>
          <w:kern w:val="0"/>
          <w:sz w:val="32"/>
          <w:szCs w:val="32"/>
        </w:rPr>
        <w:t>5</w:t>
      </w:r>
      <w:r>
        <w:rPr>
          <w:rFonts w:hint="eastAsia" w:ascii="仿宋_GB2312" w:hAnsi="仿宋" w:eastAsia="仿宋_GB2312" w:cs="仿宋_GB2312"/>
          <w:snapToGrid w:val="0"/>
          <w:kern w:val="0"/>
          <w:sz w:val="32"/>
          <w:szCs w:val="32"/>
        </w:rPr>
        <w:t>号）要求。在单位会计核算系统中单独设置会计科目或设辅助明细账。不能作为“单独核算”的方式主要包括：台账登记、电子表格登记、项目经费本登记、记账凭证加标注。</w:t>
      </w:r>
    </w:p>
    <w:p>
      <w:pPr>
        <w:adjustRightInd w:val="0"/>
        <w:snapToGrid w:val="0"/>
        <w:spacing w:line="600" w:lineRule="atLeast"/>
        <w:ind w:firstLine="643" w:firstLineChars="200"/>
        <w:rPr>
          <w:rFonts w:ascii="楷体_GB2312" w:hAnsi="仿宋" w:eastAsia="楷体_GB2312" w:cs="楷体_GB2312"/>
          <w:b/>
          <w:bCs/>
          <w:kern w:val="0"/>
          <w:sz w:val="32"/>
          <w:szCs w:val="32"/>
        </w:rPr>
      </w:pPr>
      <w:r>
        <w:rPr>
          <w:rFonts w:hint="eastAsia" w:ascii="楷体_GB2312" w:hAnsi="仿宋" w:eastAsia="楷体_GB2312" w:cs="楷体_GB2312"/>
          <w:b/>
          <w:bCs/>
          <w:snapToGrid w:val="0"/>
          <w:kern w:val="0"/>
          <w:sz w:val="32"/>
          <w:szCs w:val="32"/>
        </w:rPr>
        <w:t>5.项目经费不得用于支付各种罚款、捐款、赞助、投资等支出，不得用于国家规定禁止列入的其他支出。</w:t>
      </w: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p>
    <w:p>
      <w:pPr>
        <w:adjustRightInd w:val="0"/>
        <w:snapToGrid w:val="0"/>
        <w:spacing w:line="600" w:lineRule="atLeast"/>
        <w:ind w:firstLine="640" w:firstLineChars="200"/>
        <w:rPr>
          <w:rFonts w:ascii="仿宋_GB2312" w:hAnsi="仿宋" w:eastAsia="仿宋_GB2312" w:cs="仿宋_GB2312"/>
          <w:snapToGrid w:val="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08D7679F"/>
    <w:rsid w:val="08D7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2022-06-14T08:07:00Z</dcterms:created>
  <dc:creator>NTKO</dc:creator>
  <cp:lastModifiedBy>NTKO</cp:lastModifiedBy>
  <dcterms:modified xsi:type="dcterms:W3CDTF">2022-06-14T08:10:25Z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9D5D596487FE4C1590252ED8511E58A0</vt:lpwstr>
  </property>
</Properties>
</file>